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B" w:rsidRPr="004E2B7B" w:rsidRDefault="004E2B7B" w:rsidP="004E2B7B">
      <w:p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4E2B7B">
        <w:rPr>
          <w:rFonts w:cs="Arial"/>
          <w:b/>
          <w:bCs/>
          <w:sz w:val="24"/>
          <w:szCs w:val="24"/>
          <w:rtl/>
        </w:rPr>
        <w:t>603430</w:t>
      </w:r>
      <w:r w:rsidRPr="004E2B7B">
        <w:rPr>
          <w:rFonts w:cs="Arial"/>
          <w:b/>
          <w:bCs/>
          <w:sz w:val="24"/>
          <w:szCs w:val="24"/>
        </w:rPr>
        <w:t xml:space="preserve"> </w:t>
      </w:r>
      <w:r w:rsidRPr="004E2B7B">
        <w:rPr>
          <w:rFonts w:cs="Arial"/>
          <w:b/>
          <w:bCs/>
          <w:sz w:val="24"/>
          <w:szCs w:val="24"/>
          <w:rtl/>
        </w:rPr>
        <w:t>مناهج البحث العلمي/اقتصاد وارشاد</w:t>
      </w:r>
    </w:p>
    <w:p w:rsidR="004E2B7B" w:rsidRPr="004E2B7B" w:rsidRDefault="004E2B7B" w:rsidP="004E2B7B">
      <w:pPr>
        <w:bidi/>
        <w:spacing w:after="0"/>
        <w:jc w:val="both"/>
        <w:rPr>
          <w:rFonts w:cs="Arial"/>
          <w:sz w:val="24"/>
          <w:szCs w:val="24"/>
        </w:rPr>
      </w:pPr>
      <w:r w:rsidRPr="004E2B7B">
        <w:rPr>
          <w:rFonts w:cs="Arial"/>
          <w:sz w:val="24"/>
          <w:szCs w:val="24"/>
          <w:rtl/>
        </w:rPr>
        <w:t>يغطي هذا المساق الأسس المتعلقة بتحديد المجتمع الإحصائي للتعرف على الإنتاج والمنتجات للمحاصيل الزراعية والمواشي ، وكيفية إعداد الاستبانات وتبويب المعلومات وطرق جمع المعلومات بالإضافة إلى تطبيقات ميدانية .</w:t>
      </w:r>
      <w:r w:rsidRPr="004E2B7B">
        <w:rPr>
          <w:rFonts w:cs="Arial"/>
          <w:sz w:val="24"/>
          <w:szCs w:val="24"/>
          <w:rtl/>
        </w:rPr>
        <w:tab/>
      </w:r>
    </w:p>
    <w:p w:rsidR="004E2B7B" w:rsidRDefault="004E2B7B" w:rsidP="004E2B7B">
      <w:pPr>
        <w:tabs>
          <w:tab w:val="right" w:pos="864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4E2B7B" w:rsidRPr="004E2B7B" w:rsidRDefault="004E2B7B" w:rsidP="004E2B7B">
      <w:pPr>
        <w:tabs>
          <w:tab w:val="right" w:pos="8640"/>
        </w:tabs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4E2B7B">
        <w:rPr>
          <w:rFonts w:asciiTheme="majorBidi" w:hAnsiTheme="majorBidi" w:cstheme="majorBidi"/>
          <w:b/>
          <w:bCs/>
          <w:sz w:val="24"/>
          <w:szCs w:val="24"/>
        </w:rPr>
        <w:t xml:space="preserve">603430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4E2B7B">
        <w:rPr>
          <w:rFonts w:asciiTheme="majorBidi" w:hAnsiTheme="majorBidi" w:cstheme="majorBidi"/>
          <w:b/>
          <w:bCs/>
          <w:sz w:val="24"/>
          <w:szCs w:val="24"/>
        </w:rPr>
        <w:t>SCIENTIFIC RESEARCH METHODS</w:t>
      </w:r>
      <w:r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020A61" w:rsidRPr="004E2B7B" w:rsidRDefault="004E2B7B" w:rsidP="004E2B7B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4E2B7B">
        <w:rPr>
          <w:rFonts w:asciiTheme="majorBidi" w:hAnsiTheme="majorBidi" w:cstheme="majorBidi"/>
          <w:sz w:val="24"/>
          <w:szCs w:val="24"/>
        </w:rPr>
        <w:t>The course includes Data collection procedures and techniques. Comparing data collecting techniques and conducting these techniques. Practical application of data collection. Organization and presentation of agricultural data</w:t>
      </w:r>
      <w:r w:rsidRPr="004E2B7B">
        <w:rPr>
          <w:rFonts w:asciiTheme="majorBidi" w:hAnsiTheme="majorBidi" w:cstheme="majorBidi"/>
          <w:sz w:val="24"/>
          <w:szCs w:val="24"/>
          <w:rtl/>
        </w:rPr>
        <w:t>.</w:t>
      </w:r>
    </w:p>
    <w:sectPr w:rsidR="00020A61" w:rsidRPr="004E2B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B"/>
    <w:rsid w:val="00020A61"/>
    <w:rsid w:val="004E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735AA8E-39F3-49DD-B544-043604797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Sultan</dc:creator>
  <cp:keywords/>
  <dc:description/>
  <cp:lastModifiedBy>Kamel Sultan</cp:lastModifiedBy>
  <cp:revision>1</cp:revision>
  <dcterms:created xsi:type="dcterms:W3CDTF">2020-11-17T14:07:00Z</dcterms:created>
  <dcterms:modified xsi:type="dcterms:W3CDTF">2020-11-17T14:09:00Z</dcterms:modified>
</cp:coreProperties>
</file>