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27" w:type="dxa"/>
        <w:jc w:val="center"/>
        <w:tblInd w:w="-1336" w:type="dxa"/>
        <w:tblLook w:val="01E0"/>
      </w:tblPr>
      <w:tblGrid>
        <w:gridCol w:w="3325"/>
        <w:gridCol w:w="7302"/>
      </w:tblGrid>
      <w:tr w:rsidR="00930EF4" w:rsidRPr="00F53D9D" w:rsidTr="00FE74A2">
        <w:trPr>
          <w:jc w:val="center"/>
        </w:trPr>
        <w:tc>
          <w:tcPr>
            <w:tcW w:w="3325" w:type="dxa"/>
            <w:tcBorders>
              <w:top w:val="single" w:sz="4" w:space="0" w:color="auto"/>
              <w:left w:val="single" w:sz="4" w:space="0" w:color="auto"/>
              <w:bottom w:val="single" w:sz="4" w:space="0" w:color="auto"/>
              <w:right w:val="single" w:sz="4" w:space="0" w:color="auto"/>
            </w:tcBorders>
            <w:shd w:val="clear" w:color="auto" w:fill="E6E6E6"/>
          </w:tcPr>
          <w:p w:rsidR="00930EF4" w:rsidRPr="00F53D9D" w:rsidRDefault="00930EF4" w:rsidP="00FE74A2">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اســم المســـاق:</w:t>
            </w:r>
          </w:p>
        </w:tc>
        <w:tc>
          <w:tcPr>
            <w:tcW w:w="7302" w:type="dxa"/>
            <w:tcBorders>
              <w:top w:val="single" w:sz="4" w:space="0" w:color="auto"/>
              <w:left w:val="single" w:sz="4" w:space="0" w:color="auto"/>
              <w:bottom w:val="single" w:sz="4" w:space="0" w:color="auto"/>
              <w:right w:val="single" w:sz="4" w:space="0" w:color="auto"/>
            </w:tcBorders>
            <w:shd w:val="clear" w:color="auto" w:fill="E6E6E6"/>
          </w:tcPr>
          <w:p w:rsidR="00930EF4" w:rsidRPr="00F53D9D" w:rsidRDefault="00930EF4" w:rsidP="00FE74A2">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مدخل إلى التربية الخاصة</w:t>
            </w:r>
          </w:p>
        </w:tc>
      </w:tr>
      <w:tr w:rsidR="00930EF4" w:rsidRPr="00F53D9D" w:rsidTr="00FE74A2">
        <w:trPr>
          <w:jc w:val="center"/>
        </w:trPr>
        <w:tc>
          <w:tcPr>
            <w:tcW w:w="3325" w:type="dxa"/>
            <w:tcBorders>
              <w:top w:val="single" w:sz="4" w:space="0" w:color="auto"/>
              <w:left w:val="single" w:sz="4" w:space="0" w:color="auto"/>
              <w:bottom w:val="single" w:sz="4" w:space="0" w:color="auto"/>
              <w:right w:val="single" w:sz="4" w:space="0" w:color="auto"/>
            </w:tcBorders>
            <w:shd w:val="clear" w:color="auto" w:fill="E6E6E6"/>
          </w:tcPr>
          <w:p w:rsidR="00930EF4" w:rsidRPr="00F53D9D" w:rsidRDefault="00930EF4" w:rsidP="00FE74A2">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رقــم المــــادة:</w:t>
            </w:r>
          </w:p>
        </w:tc>
        <w:tc>
          <w:tcPr>
            <w:tcW w:w="7302" w:type="dxa"/>
            <w:tcBorders>
              <w:top w:val="single" w:sz="4" w:space="0" w:color="auto"/>
              <w:left w:val="single" w:sz="4" w:space="0" w:color="auto"/>
              <w:bottom w:val="single" w:sz="4" w:space="0" w:color="auto"/>
              <w:right w:val="single" w:sz="4" w:space="0" w:color="auto"/>
            </w:tcBorders>
            <w:shd w:val="clear" w:color="auto" w:fill="E6E6E6"/>
          </w:tcPr>
          <w:p w:rsidR="00930EF4" w:rsidRPr="00F53D9D" w:rsidRDefault="00930EF4" w:rsidP="00FE74A2">
            <w:pPr>
              <w:bidi/>
              <w:rPr>
                <w:rFonts w:ascii="Sakkal Majalla" w:hAnsi="Sakkal Majalla" w:cs="Sakkal Majalla"/>
                <w:sz w:val="28"/>
                <w:szCs w:val="28"/>
                <w:rtl/>
                <w:lang w:bidi="ar-JO"/>
              </w:rPr>
            </w:pPr>
            <w:r w:rsidRPr="00F53D9D">
              <w:rPr>
                <w:rFonts w:ascii="Sakkal Majalla" w:hAnsi="Sakkal Majalla" w:cs="Sakkal Majalla"/>
                <w:sz w:val="28"/>
                <w:szCs w:val="28"/>
                <w:rtl/>
                <w:lang w:bidi="ar-JO"/>
              </w:rPr>
              <w:t>70</w:t>
            </w:r>
            <w:r w:rsidRPr="00F53D9D">
              <w:rPr>
                <w:rFonts w:ascii="Sakkal Majalla" w:hAnsi="Sakkal Majalla" w:cs="Sakkal Majalla" w:hint="cs"/>
                <w:sz w:val="28"/>
                <w:szCs w:val="28"/>
                <w:rtl/>
                <w:lang w:bidi="ar-JO"/>
              </w:rPr>
              <w:t>3</w:t>
            </w:r>
            <w:r w:rsidRPr="00F53D9D">
              <w:rPr>
                <w:rFonts w:ascii="Sakkal Majalla" w:hAnsi="Sakkal Majalla" w:cs="Sakkal Majalla"/>
                <w:sz w:val="28"/>
                <w:szCs w:val="28"/>
                <w:rtl/>
                <w:lang w:bidi="ar-JO"/>
              </w:rPr>
              <w:t>120</w:t>
            </w:r>
          </w:p>
        </w:tc>
      </w:tr>
      <w:tr w:rsidR="00930EF4" w:rsidRPr="00F53D9D" w:rsidTr="00FE74A2">
        <w:trPr>
          <w:jc w:val="center"/>
        </w:trPr>
        <w:tc>
          <w:tcPr>
            <w:tcW w:w="3325" w:type="dxa"/>
            <w:tcBorders>
              <w:top w:val="single" w:sz="4" w:space="0" w:color="auto"/>
              <w:left w:val="single" w:sz="4" w:space="0" w:color="auto"/>
              <w:bottom w:val="single" w:sz="4" w:space="0" w:color="auto"/>
              <w:right w:val="single" w:sz="4" w:space="0" w:color="auto"/>
            </w:tcBorders>
            <w:shd w:val="clear" w:color="auto" w:fill="E6E6E6"/>
          </w:tcPr>
          <w:p w:rsidR="00930EF4" w:rsidRPr="00F53D9D" w:rsidRDefault="00930EF4" w:rsidP="00FE74A2">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السـاعــات المعتمـدة:</w:t>
            </w:r>
          </w:p>
        </w:tc>
        <w:tc>
          <w:tcPr>
            <w:tcW w:w="7302" w:type="dxa"/>
            <w:tcBorders>
              <w:top w:val="single" w:sz="4" w:space="0" w:color="auto"/>
              <w:left w:val="single" w:sz="4" w:space="0" w:color="auto"/>
              <w:bottom w:val="single" w:sz="4" w:space="0" w:color="auto"/>
              <w:right w:val="single" w:sz="4" w:space="0" w:color="auto"/>
            </w:tcBorders>
            <w:shd w:val="clear" w:color="auto" w:fill="E6E6E6"/>
          </w:tcPr>
          <w:p w:rsidR="00930EF4" w:rsidRPr="00F53D9D" w:rsidRDefault="00930EF4" w:rsidP="00FE74A2">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(3) ساعات</w:t>
            </w:r>
          </w:p>
        </w:tc>
      </w:tr>
      <w:tr w:rsidR="00930EF4" w:rsidRPr="00F53D9D" w:rsidTr="00FE74A2">
        <w:trPr>
          <w:jc w:val="center"/>
        </w:trPr>
        <w:tc>
          <w:tcPr>
            <w:tcW w:w="3325" w:type="dxa"/>
            <w:tcBorders>
              <w:top w:val="single" w:sz="4" w:space="0" w:color="auto"/>
              <w:left w:val="single" w:sz="4" w:space="0" w:color="auto"/>
              <w:bottom w:val="single" w:sz="4" w:space="0" w:color="auto"/>
              <w:right w:val="single" w:sz="4" w:space="0" w:color="auto"/>
            </w:tcBorders>
            <w:shd w:val="clear" w:color="auto" w:fill="E6E6E6"/>
          </w:tcPr>
          <w:p w:rsidR="00930EF4" w:rsidRPr="00F53D9D" w:rsidRDefault="00930EF4" w:rsidP="00FE74A2">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تصنيـف المســـاق:</w:t>
            </w:r>
          </w:p>
        </w:tc>
        <w:tc>
          <w:tcPr>
            <w:tcW w:w="7302" w:type="dxa"/>
            <w:tcBorders>
              <w:top w:val="single" w:sz="4" w:space="0" w:color="auto"/>
              <w:left w:val="single" w:sz="4" w:space="0" w:color="auto"/>
              <w:bottom w:val="single" w:sz="4" w:space="0" w:color="auto"/>
              <w:right w:val="single" w:sz="4" w:space="0" w:color="auto"/>
            </w:tcBorders>
            <w:shd w:val="clear" w:color="auto" w:fill="E6E6E6"/>
          </w:tcPr>
          <w:p w:rsidR="00930EF4" w:rsidRPr="00F53D9D" w:rsidRDefault="00930EF4" w:rsidP="00FE74A2">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اختياري تخصص</w:t>
            </w:r>
          </w:p>
        </w:tc>
      </w:tr>
      <w:tr w:rsidR="00930EF4" w:rsidRPr="00F53D9D" w:rsidTr="00FE74A2">
        <w:trPr>
          <w:jc w:val="center"/>
        </w:trPr>
        <w:tc>
          <w:tcPr>
            <w:tcW w:w="3325" w:type="dxa"/>
            <w:tcBorders>
              <w:top w:val="single" w:sz="4" w:space="0" w:color="auto"/>
              <w:left w:val="single" w:sz="4" w:space="0" w:color="auto"/>
              <w:bottom w:val="single" w:sz="4" w:space="0" w:color="auto"/>
              <w:right w:val="nil"/>
            </w:tcBorders>
            <w:shd w:val="clear" w:color="auto" w:fill="E6E6E6"/>
          </w:tcPr>
          <w:p w:rsidR="00930EF4" w:rsidRPr="00F53D9D" w:rsidRDefault="00930EF4" w:rsidP="00FE74A2">
            <w:pPr>
              <w:bidi/>
              <w:rPr>
                <w:rFonts w:ascii="Sakkal Majalla" w:hAnsi="Sakkal Majalla" w:cs="Sakkal Majalla"/>
                <w:sz w:val="28"/>
                <w:szCs w:val="28"/>
                <w:lang w:bidi="ar-JO"/>
              </w:rPr>
            </w:pPr>
            <w:r w:rsidRPr="00F53D9D">
              <w:rPr>
                <w:rFonts w:ascii="Sakkal Majalla" w:hAnsi="Sakkal Majalla" w:cs="Sakkal Majalla"/>
                <w:sz w:val="28"/>
                <w:szCs w:val="28"/>
                <w:rtl/>
                <w:lang w:bidi="ar-JO"/>
              </w:rPr>
              <w:t>وصــف المســـاق:</w:t>
            </w:r>
          </w:p>
        </w:tc>
        <w:tc>
          <w:tcPr>
            <w:tcW w:w="7302" w:type="dxa"/>
            <w:tcBorders>
              <w:top w:val="single" w:sz="4" w:space="0" w:color="auto"/>
              <w:left w:val="nil"/>
              <w:bottom w:val="single" w:sz="4" w:space="0" w:color="auto"/>
              <w:right w:val="single" w:sz="4" w:space="0" w:color="auto"/>
            </w:tcBorders>
            <w:shd w:val="clear" w:color="auto" w:fill="E6E6E6"/>
          </w:tcPr>
          <w:p w:rsidR="00930EF4" w:rsidRPr="00F53D9D" w:rsidRDefault="00930EF4" w:rsidP="00FE74A2">
            <w:pPr>
              <w:bidi/>
              <w:rPr>
                <w:rFonts w:ascii="Sakkal Majalla" w:hAnsi="Sakkal Majalla" w:cs="Sakkal Majalla"/>
                <w:sz w:val="28"/>
                <w:szCs w:val="28"/>
                <w:lang w:bidi="ar-JO"/>
              </w:rPr>
            </w:pPr>
          </w:p>
        </w:tc>
      </w:tr>
      <w:tr w:rsidR="00930EF4" w:rsidRPr="00F53D9D" w:rsidTr="00FE74A2">
        <w:trPr>
          <w:jc w:val="center"/>
        </w:trPr>
        <w:tc>
          <w:tcPr>
            <w:tcW w:w="10627" w:type="dxa"/>
            <w:gridSpan w:val="2"/>
            <w:tcBorders>
              <w:top w:val="single" w:sz="4" w:space="0" w:color="auto"/>
              <w:left w:val="single" w:sz="4" w:space="0" w:color="auto"/>
              <w:bottom w:val="single" w:sz="4" w:space="0" w:color="auto"/>
              <w:right w:val="single" w:sz="4" w:space="0" w:color="auto"/>
            </w:tcBorders>
          </w:tcPr>
          <w:p w:rsidR="00930EF4" w:rsidRPr="00F53D9D" w:rsidRDefault="00930EF4" w:rsidP="00FE74A2">
            <w:pPr>
              <w:bidi/>
              <w:spacing w:line="360" w:lineRule="auto"/>
              <w:jc w:val="lowKashida"/>
              <w:rPr>
                <w:rFonts w:ascii="Sakkal Majalla" w:hAnsi="Sakkal Majalla" w:cs="Sakkal Majalla"/>
                <w:sz w:val="28"/>
                <w:szCs w:val="28"/>
                <w:lang w:bidi="ar-JO"/>
              </w:rPr>
            </w:pPr>
            <w:r w:rsidRPr="00F53D9D">
              <w:rPr>
                <w:rFonts w:ascii="Sakkal Majalla" w:hAnsi="Sakkal Majalla" w:cs="Sakkal Majalla"/>
                <w:sz w:val="28"/>
                <w:szCs w:val="28"/>
                <w:rtl/>
                <w:lang w:bidi="ar-JO"/>
              </w:rPr>
              <w:t xml:space="preserve">        يتناول هذا المساق مفهوم التربية الخاصة، والأسس التي تقوم عليها كالبرنامج التربوي الفردي، والعمل من خلال فريق، مشاركة الأهل والدمج والتعرف على الفئات غير العادية، الإعاقة العقلية والبصرية والانفعالية والسمعية والجسدية وصعوبات التعلم ومشاكل النطق واللغة والإعاقات المتعددة ومعرفة أسباب هذه الإعاقات والصفات المميزة لكل منها، وأفضل طرق تقديم الخدمات لهذه الفئات كما تتناول التفوق العقلي، معناه، والصفات المتميزة للمتفوقين، والبرامج الخاصة بهم والخدمات المساندة كعلاج طبيعي والمهني والتربية الرياضية الخاصة والخدمات الاجتماعية. والتطرق إلى المؤتمرات التي تعقد بخصوص ذوي الحاجات الخاصة.</w:t>
            </w:r>
          </w:p>
        </w:tc>
      </w:tr>
    </w:tbl>
    <w:p w:rsidR="00844E13" w:rsidRDefault="00844E13"/>
    <w:sectPr w:rsidR="00844E13"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8"/>
  <w:proofState w:spelling="clean" w:grammar="clean"/>
  <w:defaultTabStop w:val="720"/>
  <w:characterSpacingControl w:val="doNotCompress"/>
  <w:compat/>
  <w:rsids>
    <w:rsidRoot w:val="00930EF4"/>
    <w:rsid w:val="00844E13"/>
    <w:rsid w:val="00930EF4"/>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EF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0EF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2017-04-23T10:06:00Z</dcterms:created>
  <dcterms:modified xsi:type="dcterms:W3CDTF">2017-04-23T10:07:00Z</dcterms:modified>
</cp:coreProperties>
</file>