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0F15AB"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الكيمياء والاحياء وأساليب تدريسه</w:t>
            </w:r>
            <w:r w:rsidRPr="00BD7C32">
              <w:rPr>
                <w:rFonts w:ascii="Sakkal Majalla" w:hAnsi="Sakkal Majalla" w:cs="Sakkal Majalla" w:hint="cs"/>
                <w:sz w:val="28"/>
                <w:szCs w:val="28"/>
                <w:rtl/>
                <w:lang w:bidi="ar-JO"/>
              </w:rPr>
              <w:t>م</w:t>
            </w:r>
            <w:r>
              <w:rPr>
                <w:rFonts w:ascii="Sakkal Majalla" w:hAnsi="Sakkal Majalla" w:cs="Sakkal Majalla"/>
                <w:sz w:val="28"/>
                <w:szCs w:val="28"/>
                <w:rtl/>
                <w:lang w:bidi="ar-JO"/>
              </w:rPr>
              <w:t>ا</w:t>
            </w:r>
          </w:p>
        </w:tc>
      </w:tr>
      <w:tr w:rsidR="000F15AB"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 xml:space="preserve"> 701</w:t>
            </w:r>
            <w:r w:rsidRPr="00BD7C32">
              <w:rPr>
                <w:rFonts w:ascii="Sakkal Majalla" w:hAnsi="Sakkal Majalla" w:cs="Sakkal Majalla" w:hint="cs"/>
                <w:sz w:val="28"/>
                <w:szCs w:val="28"/>
                <w:rtl/>
                <w:lang w:bidi="ar-JO"/>
              </w:rPr>
              <w:t>323</w:t>
            </w:r>
          </w:p>
        </w:tc>
      </w:tr>
      <w:tr w:rsidR="000F15AB"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(3) ساعات</w:t>
            </w:r>
          </w:p>
        </w:tc>
      </w:tr>
      <w:tr w:rsidR="000F15AB"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إجباري تخصص</w:t>
            </w:r>
          </w:p>
        </w:tc>
      </w:tr>
      <w:tr w:rsidR="000F15AB" w:rsidRPr="00BD7C32" w:rsidTr="00C44C0A">
        <w:trPr>
          <w:jc w:val="center"/>
        </w:trPr>
        <w:tc>
          <w:tcPr>
            <w:tcW w:w="2835" w:type="dxa"/>
            <w:tcBorders>
              <w:top w:val="single" w:sz="4" w:space="0" w:color="auto"/>
              <w:left w:val="single" w:sz="4" w:space="0" w:color="auto"/>
              <w:bottom w:val="single" w:sz="4" w:space="0" w:color="auto"/>
              <w:right w:val="nil"/>
            </w:tcBorders>
            <w:shd w:val="clear" w:color="auto" w:fill="E6E6E6"/>
          </w:tcPr>
          <w:p w:rsidR="000F15AB" w:rsidRPr="00BD7C32" w:rsidRDefault="000F15AB"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وصف المساق :</w:t>
            </w:r>
          </w:p>
        </w:tc>
        <w:tc>
          <w:tcPr>
            <w:tcW w:w="7797" w:type="dxa"/>
            <w:tcBorders>
              <w:top w:val="single" w:sz="4" w:space="0" w:color="auto"/>
              <w:left w:val="nil"/>
              <w:bottom w:val="single" w:sz="4" w:space="0" w:color="auto"/>
              <w:right w:val="single" w:sz="4" w:space="0" w:color="auto"/>
            </w:tcBorders>
            <w:shd w:val="clear" w:color="auto" w:fill="E6E6E6"/>
          </w:tcPr>
          <w:p w:rsidR="000F15AB" w:rsidRPr="00BD7C32" w:rsidRDefault="000F15AB" w:rsidP="00C44C0A">
            <w:pPr>
              <w:bidi/>
              <w:rPr>
                <w:rFonts w:ascii="Sakkal Majalla" w:hAnsi="Sakkal Majalla" w:cs="Sakkal Majalla"/>
                <w:sz w:val="28"/>
                <w:szCs w:val="28"/>
                <w:lang w:bidi="ar-JO"/>
              </w:rPr>
            </w:pPr>
          </w:p>
        </w:tc>
      </w:tr>
      <w:tr w:rsidR="000F15AB" w:rsidRPr="00BD7C32"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0F15AB" w:rsidRPr="00BD7C32" w:rsidRDefault="000F15AB" w:rsidP="00C44C0A">
            <w:pPr>
              <w:bidi/>
              <w:spacing w:line="276" w:lineRule="auto"/>
              <w:jc w:val="lowKashida"/>
              <w:rPr>
                <w:rFonts w:ascii="Sakkal Majalla" w:hAnsi="Sakkal Majalla" w:cs="Sakkal Majalla"/>
                <w:sz w:val="28"/>
                <w:szCs w:val="28"/>
                <w:lang w:bidi="ar-JO"/>
              </w:rPr>
            </w:pPr>
            <w:r w:rsidRPr="00BD7C32">
              <w:rPr>
                <w:rFonts w:ascii="Sakkal Majalla" w:hAnsi="Sakkal Majalla" w:cs="Sakkal Majalla"/>
                <w:sz w:val="28"/>
                <w:szCs w:val="28"/>
                <w:rtl/>
                <w:lang w:bidi="ar-JO"/>
              </w:rPr>
              <w:t xml:space="preserve">     </w:t>
            </w:r>
            <w:r w:rsidRPr="00BD7C32">
              <w:rPr>
                <w:rFonts w:ascii="Sakkal Majalla" w:hAnsi="Sakkal Majalla" w:cs="Sakkal Majalla" w:hint="cs"/>
                <w:sz w:val="28"/>
                <w:szCs w:val="28"/>
                <w:rtl/>
                <w:lang w:bidi="ar-JO"/>
              </w:rPr>
              <w:t xml:space="preserve">       </w:t>
            </w:r>
            <w:r w:rsidRPr="00BD7C32">
              <w:rPr>
                <w:rFonts w:ascii="Sakkal Majalla" w:hAnsi="Sakkal Majalla" w:cs="Sakkal Majalla"/>
                <w:sz w:val="28"/>
                <w:szCs w:val="28"/>
                <w:rtl/>
                <w:lang w:bidi="ar-JO"/>
              </w:rPr>
              <w:t>يتناول هذا المساق مبادئ العلوم الحياتية وعلوم الفضاء من حيث التنوع في الكائنات الحية وتصنيفها وخصائصها وطرق تكاثرها والسلسلة  الغذائية، والخلية والأنسجة، وأجهزة جسم الإنسان وصحتها، والنبات : خصائصه ونموه وعملية البناء الضوئي، والمستجدات في علم الأحياء كالهندسة الوراثية والاستنساخ وخارطة الجينات والأغذية المهندسة وراثياً، ومكونات الكون وخصائصه ونشأته، والأرض والشمس والقمر، والعمليات الجيولوجية، والرصد الجوي والطقس وعوامله وأهمية الرصد الجوي في حياة الإنسان، وأساليب تدريس هذه المفاهيم القائمة على المنحى البنائي</w:t>
            </w:r>
            <w:r w:rsidRPr="00BD7C32">
              <w:rPr>
                <w:rFonts w:ascii="Sakkal Majalla" w:hAnsi="Sakkal Majalla" w:cs="Sakkal Majalla" w:hint="cs"/>
                <w:sz w:val="28"/>
                <w:szCs w:val="28"/>
                <w:rtl/>
                <w:lang w:bidi="ar-JO"/>
              </w:rPr>
              <w:t>.</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0F15AB"/>
    <w:rsid w:val="000F15AB"/>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5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2017-04-23T09:15:00Z</dcterms:created>
  <dcterms:modified xsi:type="dcterms:W3CDTF">2017-04-23T09:15:00Z</dcterms:modified>
</cp:coreProperties>
</file>