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10766" w:type="dxa"/>
        <w:jc w:val="center"/>
        <w:tblInd w:w="-893" w:type="dxa"/>
        <w:tblLook w:val="01E0"/>
      </w:tblPr>
      <w:tblGrid>
        <w:gridCol w:w="2832"/>
        <w:gridCol w:w="7934"/>
      </w:tblGrid>
      <w:tr w:rsidR="00E73212" w:rsidRPr="00F53D9D" w:rsidTr="00C44C0A">
        <w:trPr>
          <w:jc w:val="center"/>
        </w:trPr>
        <w:tc>
          <w:tcPr>
            <w:tcW w:w="2832" w:type="dxa"/>
            <w:tcBorders>
              <w:top w:val="single" w:sz="4" w:space="0" w:color="auto"/>
              <w:left w:val="single" w:sz="4" w:space="0" w:color="auto"/>
              <w:bottom w:val="single" w:sz="4" w:space="0" w:color="auto"/>
              <w:right w:val="single" w:sz="4" w:space="0" w:color="auto"/>
            </w:tcBorders>
            <w:shd w:val="clear" w:color="auto" w:fill="E6E6E6"/>
          </w:tcPr>
          <w:p w:rsidR="00E73212" w:rsidRPr="00F53D9D" w:rsidRDefault="00E73212" w:rsidP="00C44C0A">
            <w:pPr>
              <w:bidi/>
              <w:rPr>
                <w:rFonts w:ascii="Sakkal Majalla" w:hAnsi="Sakkal Majalla" w:cs="Sakkal Majalla"/>
                <w:sz w:val="28"/>
                <w:szCs w:val="28"/>
                <w:lang w:bidi="ar-JO"/>
              </w:rPr>
            </w:pPr>
            <w:r w:rsidRPr="00F53D9D">
              <w:rPr>
                <w:rFonts w:ascii="Sakkal Majalla" w:hAnsi="Sakkal Majalla" w:cs="Sakkal Majalla"/>
                <w:sz w:val="28"/>
                <w:szCs w:val="28"/>
                <w:rtl/>
                <w:lang w:bidi="ar-JO"/>
              </w:rPr>
              <w:t>اســم المســـاق:</w:t>
            </w:r>
          </w:p>
        </w:tc>
        <w:tc>
          <w:tcPr>
            <w:tcW w:w="7934" w:type="dxa"/>
            <w:tcBorders>
              <w:top w:val="single" w:sz="4" w:space="0" w:color="auto"/>
              <w:left w:val="single" w:sz="4" w:space="0" w:color="auto"/>
              <w:bottom w:val="single" w:sz="4" w:space="0" w:color="auto"/>
              <w:right w:val="single" w:sz="4" w:space="0" w:color="auto"/>
            </w:tcBorders>
            <w:shd w:val="clear" w:color="auto" w:fill="E6E6E6"/>
          </w:tcPr>
          <w:p w:rsidR="00E73212" w:rsidRPr="00F53D9D" w:rsidRDefault="00E73212" w:rsidP="00C44C0A">
            <w:pPr>
              <w:bidi/>
              <w:rPr>
                <w:rFonts w:ascii="Sakkal Majalla" w:hAnsi="Sakkal Majalla" w:cs="Sakkal Majalla"/>
                <w:sz w:val="28"/>
                <w:szCs w:val="28"/>
                <w:lang w:bidi="ar-JO"/>
              </w:rPr>
            </w:pPr>
            <w:r w:rsidRPr="00F53D9D">
              <w:rPr>
                <w:rFonts w:ascii="Sakkal Majalla" w:hAnsi="Sakkal Majalla" w:cs="Sakkal Majalla"/>
                <w:sz w:val="28"/>
                <w:szCs w:val="28"/>
                <w:rtl/>
                <w:lang w:bidi="ar-JO"/>
              </w:rPr>
              <w:t>التكيف والصحة النفسية للطفل</w:t>
            </w:r>
          </w:p>
        </w:tc>
      </w:tr>
      <w:tr w:rsidR="00E73212" w:rsidRPr="00F53D9D" w:rsidTr="00C44C0A">
        <w:trPr>
          <w:jc w:val="center"/>
        </w:trPr>
        <w:tc>
          <w:tcPr>
            <w:tcW w:w="2832" w:type="dxa"/>
            <w:tcBorders>
              <w:top w:val="single" w:sz="4" w:space="0" w:color="auto"/>
              <w:left w:val="single" w:sz="4" w:space="0" w:color="auto"/>
              <w:bottom w:val="single" w:sz="4" w:space="0" w:color="auto"/>
              <w:right w:val="single" w:sz="4" w:space="0" w:color="auto"/>
            </w:tcBorders>
            <w:shd w:val="clear" w:color="auto" w:fill="E6E6E6"/>
          </w:tcPr>
          <w:p w:rsidR="00E73212" w:rsidRPr="00F53D9D" w:rsidRDefault="00E73212" w:rsidP="00C44C0A">
            <w:pPr>
              <w:bidi/>
              <w:rPr>
                <w:rFonts w:ascii="Sakkal Majalla" w:hAnsi="Sakkal Majalla" w:cs="Sakkal Majalla"/>
                <w:sz w:val="28"/>
                <w:szCs w:val="28"/>
                <w:lang w:bidi="ar-JO"/>
              </w:rPr>
            </w:pPr>
            <w:r w:rsidRPr="00F53D9D">
              <w:rPr>
                <w:rFonts w:ascii="Sakkal Majalla" w:hAnsi="Sakkal Majalla" w:cs="Sakkal Majalla"/>
                <w:sz w:val="28"/>
                <w:szCs w:val="28"/>
                <w:rtl/>
                <w:lang w:bidi="ar-JO"/>
              </w:rPr>
              <w:t>رقــم المــــادة:</w:t>
            </w:r>
          </w:p>
        </w:tc>
        <w:tc>
          <w:tcPr>
            <w:tcW w:w="7934" w:type="dxa"/>
            <w:tcBorders>
              <w:top w:val="single" w:sz="4" w:space="0" w:color="auto"/>
              <w:left w:val="single" w:sz="4" w:space="0" w:color="auto"/>
              <w:bottom w:val="single" w:sz="4" w:space="0" w:color="auto"/>
              <w:right w:val="single" w:sz="4" w:space="0" w:color="auto"/>
            </w:tcBorders>
            <w:shd w:val="clear" w:color="auto" w:fill="E6E6E6"/>
          </w:tcPr>
          <w:p w:rsidR="00E73212" w:rsidRPr="00F53D9D" w:rsidRDefault="00E73212" w:rsidP="00C44C0A">
            <w:pPr>
              <w:bidi/>
              <w:rPr>
                <w:rFonts w:ascii="Sakkal Majalla" w:hAnsi="Sakkal Majalla" w:cs="Sakkal Majalla"/>
                <w:sz w:val="28"/>
                <w:szCs w:val="28"/>
                <w:lang w:bidi="ar-JO"/>
              </w:rPr>
            </w:pPr>
            <w:r w:rsidRPr="00F53D9D">
              <w:rPr>
                <w:rFonts w:ascii="Sakkal Majalla" w:hAnsi="Sakkal Majalla" w:cs="Sakkal Majalla"/>
                <w:sz w:val="28"/>
                <w:szCs w:val="28"/>
                <w:rtl/>
                <w:lang w:bidi="ar-JO"/>
              </w:rPr>
              <w:t>70</w:t>
            </w:r>
            <w:r w:rsidRPr="00F53D9D">
              <w:rPr>
                <w:rFonts w:ascii="Sakkal Majalla" w:hAnsi="Sakkal Majalla" w:cs="Sakkal Majalla" w:hint="cs"/>
                <w:sz w:val="28"/>
                <w:szCs w:val="28"/>
                <w:rtl/>
                <w:lang w:bidi="ar-JO"/>
              </w:rPr>
              <w:t>3</w:t>
            </w:r>
            <w:r w:rsidRPr="00F53D9D">
              <w:rPr>
                <w:rFonts w:ascii="Sakkal Majalla" w:hAnsi="Sakkal Majalla" w:cs="Sakkal Majalla"/>
                <w:sz w:val="28"/>
                <w:szCs w:val="28"/>
                <w:rtl/>
                <w:lang w:bidi="ar-JO"/>
              </w:rPr>
              <w:t>332</w:t>
            </w:r>
          </w:p>
        </w:tc>
      </w:tr>
      <w:tr w:rsidR="00E73212" w:rsidRPr="00F53D9D" w:rsidTr="00C44C0A">
        <w:trPr>
          <w:jc w:val="center"/>
        </w:trPr>
        <w:tc>
          <w:tcPr>
            <w:tcW w:w="2832" w:type="dxa"/>
            <w:tcBorders>
              <w:top w:val="single" w:sz="4" w:space="0" w:color="auto"/>
              <w:left w:val="single" w:sz="4" w:space="0" w:color="auto"/>
              <w:bottom w:val="single" w:sz="4" w:space="0" w:color="auto"/>
              <w:right w:val="single" w:sz="4" w:space="0" w:color="auto"/>
            </w:tcBorders>
            <w:shd w:val="clear" w:color="auto" w:fill="E6E6E6"/>
          </w:tcPr>
          <w:p w:rsidR="00E73212" w:rsidRPr="00F53D9D" w:rsidRDefault="00E73212" w:rsidP="00C44C0A">
            <w:pPr>
              <w:bidi/>
              <w:rPr>
                <w:rFonts w:ascii="Sakkal Majalla" w:hAnsi="Sakkal Majalla" w:cs="Sakkal Majalla"/>
                <w:sz w:val="28"/>
                <w:szCs w:val="28"/>
                <w:lang w:bidi="ar-JO"/>
              </w:rPr>
            </w:pPr>
            <w:r w:rsidRPr="00F53D9D">
              <w:rPr>
                <w:rFonts w:ascii="Sakkal Majalla" w:hAnsi="Sakkal Majalla" w:cs="Sakkal Majalla"/>
                <w:sz w:val="28"/>
                <w:szCs w:val="28"/>
                <w:rtl/>
                <w:lang w:bidi="ar-JO"/>
              </w:rPr>
              <w:t>السـاعــات المعتمـدة:</w:t>
            </w:r>
          </w:p>
        </w:tc>
        <w:tc>
          <w:tcPr>
            <w:tcW w:w="7934" w:type="dxa"/>
            <w:tcBorders>
              <w:top w:val="single" w:sz="4" w:space="0" w:color="auto"/>
              <w:left w:val="single" w:sz="4" w:space="0" w:color="auto"/>
              <w:bottom w:val="single" w:sz="4" w:space="0" w:color="auto"/>
              <w:right w:val="single" w:sz="4" w:space="0" w:color="auto"/>
            </w:tcBorders>
            <w:shd w:val="clear" w:color="auto" w:fill="E6E6E6"/>
          </w:tcPr>
          <w:p w:rsidR="00E73212" w:rsidRPr="00F53D9D" w:rsidRDefault="00E73212" w:rsidP="00C44C0A">
            <w:pPr>
              <w:bidi/>
              <w:rPr>
                <w:rFonts w:ascii="Sakkal Majalla" w:hAnsi="Sakkal Majalla" w:cs="Sakkal Majalla"/>
                <w:sz w:val="28"/>
                <w:szCs w:val="28"/>
                <w:lang w:bidi="ar-JO"/>
              </w:rPr>
            </w:pPr>
            <w:r w:rsidRPr="00F53D9D">
              <w:rPr>
                <w:rFonts w:ascii="Sakkal Majalla" w:hAnsi="Sakkal Majalla" w:cs="Sakkal Majalla"/>
                <w:sz w:val="28"/>
                <w:szCs w:val="28"/>
                <w:rtl/>
                <w:lang w:bidi="ar-JO"/>
              </w:rPr>
              <w:t>(3) ساعات</w:t>
            </w:r>
          </w:p>
        </w:tc>
      </w:tr>
      <w:tr w:rsidR="00E73212" w:rsidRPr="00F53D9D" w:rsidTr="00C44C0A">
        <w:trPr>
          <w:jc w:val="center"/>
        </w:trPr>
        <w:tc>
          <w:tcPr>
            <w:tcW w:w="2832" w:type="dxa"/>
            <w:tcBorders>
              <w:top w:val="single" w:sz="4" w:space="0" w:color="auto"/>
              <w:left w:val="single" w:sz="4" w:space="0" w:color="auto"/>
              <w:bottom w:val="single" w:sz="4" w:space="0" w:color="auto"/>
              <w:right w:val="single" w:sz="4" w:space="0" w:color="auto"/>
            </w:tcBorders>
            <w:shd w:val="clear" w:color="auto" w:fill="E6E6E6"/>
          </w:tcPr>
          <w:p w:rsidR="00E73212" w:rsidRPr="00F53D9D" w:rsidRDefault="00E73212" w:rsidP="00C44C0A">
            <w:pPr>
              <w:bidi/>
              <w:rPr>
                <w:rFonts w:ascii="Sakkal Majalla" w:hAnsi="Sakkal Majalla" w:cs="Sakkal Majalla"/>
                <w:sz w:val="28"/>
                <w:szCs w:val="28"/>
                <w:lang w:bidi="ar-JO"/>
              </w:rPr>
            </w:pPr>
            <w:r w:rsidRPr="00F53D9D">
              <w:rPr>
                <w:rFonts w:ascii="Sakkal Majalla" w:hAnsi="Sakkal Majalla" w:cs="Sakkal Majalla"/>
                <w:sz w:val="28"/>
                <w:szCs w:val="28"/>
                <w:rtl/>
                <w:lang w:bidi="ar-JO"/>
              </w:rPr>
              <w:t>تصنيـف المســـاق:</w:t>
            </w:r>
          </w:p>
        </w:tc>
        <w:tc>
          <w:tcPr>
            <w:tcW w:w="7934" w:type="dxa"/>
            <w:tcBorders>
              <w:top w:val="single" w:sz="4" w:space="0" w:color="auto"/>
              <w:left w:val="single" w:sz="4" w:space="0" w:color="auto"/>
              <w:bottom w:val="single" w:sz="4" w:space="0" w:color="auto"/>
              <w:right w:val="single" w:sz="4" w:space="0" w:color="auto"/>
            </w:tcBorders>
            <w:shd w:val="clear" w:color="auto" w:fill="E6E6E6"/>
          </w:tcPr>
          <w:p w:rsidR="00E73212" w:rsidRPr="00F53D9D" w:rsidRDefault="00E73212" w:rsidP="00C44C0A">
            <w:pPr>
              <w:bidi/>
              <w:rPr>
                <w:rFonts w:ascii="Sakkal Majalla" w:hAnsi="Sakkal Majalla" w:cs="Sakkal Majalla"/>
                <w:sz w:val="28"/>
                <w:szCs w:val="28"/>
                <w:lang w:bidi="ar-JO"/>
              </w:rPr>
            </w:pPr>
            <w:r w:rsidRPr="00F53D9D">
              <w:rPr>
                <w:rFonts w:ascii="Sakkal Majalla" w:hAnsi="Sakkal Majalla" w:cs="Sakkal Majalla"/>
                <w:sz w:val="28"/>
                <w:szCs w:val="28"/>
                <w:rtl/>
                <w:lang w:bidi="ar-JO"/>
              </w:rPr>
              <w:t>اختياري تخصص</w:t>
            </w:r>
          </w:p>
        </w:tc>
      </w:tr>
      <w:tr w:rsidR="00E73212" w:rsidRPr="00F53D9D" w:rsidTr="00C44C0A">
        <w:trPr>
          <w:jc w:val="center"/>
        </w:trPr>
        <w:tc>
          <w:tcPr>
            <w:tcW w:w="2832" w:type="dxa"/>
            <w:tcBorders>
              <w:top w:val="single" w:sz="4" w:space="0" w:color="auto"/>
              <w:left w:val="single" w:sz="4" w:space="0" w:color="auto"/>
              <w:bottom w:val="single" w:sz="4" w:space="0" w:color="auto"/>
              <w:right w:val="nil"/>
            </w:tcBorders>
            <w:shd w:val="clear" w:color="auto" w:fill="E6E6E6"/>
          </w:tcPr>
          <w:p w:rsidR="00E73212" w:rsidRPr="00F53D9D" w:rsidRDefault="00E73212" w:rsidP="00C44C0A">
            <w:pPr>
              <w:bidi/>
              <w:rPr>
                <w:rFonts w:ascii="Sakkal Majalla" w:hAnsi="Sakkal Majalla" w:cs="Sakkal Majalla"/>
                <w:sz w:val="28"/>
                <w:szCs w:val="28"/>
                <w:lang w:bidi="ar-JO"/>
              </w:rPr>
            </w:pPr>
            <w:r w:rsidRPr="00F53D9D">
              <w:rPr>
                <w:rFonts w:ascii="Sakkal Majalla" w:hAnsi="Sakkal Majalla" w:cs="Sakkal Majalla"/>
                <w:sz w:val="28"/>
                <w:szCs w:val="28"/>
                <w:rtl/>
                <w:lang w:bidi="ar-JO"/>
              </w:rPr>
              <w:t>وصــف المســـاق:</w:t>
            </w:r>
          </w:p>
        </w:tc>
        <w:tc>
          <w:tcPr>
            <w:tcW w:w="7934" w:type="dxa"/>
            <w:tcBorders>
              <w:top w:val="single" w:sz="4" w:space="0" w:color="auto"/>
              <w:left w:val="nil"/>
              <w:bottom w:val="single" w:sz="4" w:space="0" w:color="auto"/>
              <w:right w:val="single" w:sz="4" w:space="0" w:color="auto"/>
            </w:tcBorders>
            <w:shd w:val="clear" w:color="auto" w:fill="E6E6E6"/>
          </w:tcPr>
          <w:p w:rsidR="00E73212" w:rsidRPr="00F53D9D" w:rsidRDefault="00E73212" w:rsidP="00C44C0A">
            <w:pPr>
              <w:bidi/>
              <w:rPr>
                <w:rFonts w:ascii="Sakkal Majalla" w:hAnsi="Sakkal Majalla" w:cs="Sakkal Majalla"/>
                <w:sz w:val="28"/>
                <w:szCs w:val="28"/>
                <w:lang w:bidi="ar-JO"/>
              </w:rPr>
            </w:pPr>
          </w:p>
        </w:tc>
      </w:tr>
      <w:tr w:rsidR="00E73212" w:rsidRPr="00F53D9D" w:rsidTr="00C44C0A">
        <w:trPr>
          <w:jc w:val="center"/>
        </w:trPr>
        <w:tc>
          <w:tcPr>
            <w:tcW w:w="10766" w:type="dxa"/>
            <w:gridSpan w:val="2"/>
            <w:tcBorders>
              <w:top w:val="single" w:sz="4" w:space="0" w:color="auto"/>
              <w:left w:val="single" w:sz="4" w:space="0" w:color="auto"/>
              <w:bottom w:val="single" w:sz="4" w:space="0" w:color="auto"/>
              <w:right w:val="single" w:sz="4" w:space="0" w:color="auto"/>
            </w:tcBorders>
          </w:tcPr>
          <w:p w:rsidR="00E73212" w:rsidRPr="00F53D9D" w:rsidRDefault="00E73212" w:rsidP="00C44C0A">
            <w:pPr>
              <w:bidi/>
              <w:spacing w:line="360" w:lineRule="auto"/>
              <w:jc w:val="lowKashida"/>
              <w:rPr>
                <w:rFonts w:ascii="Sakkal Majalla" w:hAnsi="Sakkal Majalla" w:cs="Sakkal Majalla"/>
                <w:sz w:val="28"/>
                <w:szCs w:val="28"/>
              </w:rPr>
            </w:pPr>
            <w:r w:rsidRPr="00F53D9D">
              <w:rPr>
                <w:rFonts w:ascii="Sakkal Majalla" w:hAnsi="Sakkal Majalla" w:cs="Sakkal Majalla"/>
                <w:sz w:val="28"/>
                <w:szCs w:val="28"/>
                <w:rtl/>
                <w:lang w:bidi="ar-JO"/>
              </w:rPr>
              <w:t xml:space="preserve">        يهدف هذا المساق إلى تزويد الدارس بمفاهيم أساسية في التكيف والصحة النفسية لدى الطفل، بالتركيز على دور الاسرة والمدرسة في التكيف النفسي والاجتماعي، لاسيما تأثير المنعطفات الحاسمة في حياة الطفل كمشكلات الطلاق والانفصال والعنف واليتم. ويتناول المساق بعض الاضطرابات النفسية والسلوكية وكيفية التعامل معها مثل الاضطرابات العاطفية والقلق والاكتئاب ونقص الانتباه مع الحركة الزائدة. ويساعد المساق على معرفة وتوظيف بعض المرتكزات والمقومات الهامة للصحة النفسية للطفل مثل الثقة بالنفس وتوكيد الذات والتفاعل الاجتماعي وتقدير الذات.</w:t>
            </w:r>
          </w:p>
        </w:tc>
      </w:tr>
    </w:tbl>
    <w:p w:rsidR="00B357BC" w:rsidRDefault="00B357BC"/>
    <w:sectPr w:rsidR="00B357BC" w:rsidSect="00C7777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proofState w:spelling="clean" w:grammar="clean"/>
  <w:defaultTabStop w:val="720"/>
  <w:characterSpacingControl w:val="doNotCompress"/>
  <w:compat/>
  <w:rsids>
    <w:rsidRoot w:val="00E73212"/>
    <w:rsid w:val="00B357BC"/>
    <w:rsid w:val="00C7777A"/>
    <w:rsid w:val="00E732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2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7321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582</Characters>
  <Application>Microsoft Office Word</Application>
  <DocSecurity>0</DocSecurity>
  <Lines>4</Lines>
  <Paragraphs>1</Paragraphs>
  <ScaleCrop>false</ScaleCrop>
  <Company/>
  <LinksUpToDate>false</LinksUpToDate>
  <CharactersWithSpaces>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olfet</dc:creator>
  <cp:lastModifiedBy>olfet</cp:lastModifiedBy>
  <cp:revision>1</cp:revision>
  <dcterms:created xsi:type="dcterms:W3CDTF">2017-04-23T09:26:00Z</dcterms:created>
  <dcterms:modified xsi:type="dcterms:W3CDTF">2017-04-23T09:26:00Z</dcterms:modified>
</cp:coreProperties>
</file>