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821DCA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النثر الحديث2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821DCA" w:rsidP="00821DCA">
      <w:pPr>
        <w:jc w:val="both"/>
        <w:rPr>
          <w:rFonts w:cs="Simplified Arabic"/>
          <w:sz w:val="32"/>
          <w:szCs w:val="32"/>
          <w:rtl/>
        </w:rPr>
      </w:pPr>
      <w:r w:rsidRPr="00821DCA">
        <w:rPr>
          <w:rFonts w:cs="Simplified Arabic"/>
          <w:sz w:val="32"/>
          <w:szCs w:val="32"/>
          <w:rtl/>
        </w:rPr>
        <w:t>كمتطلب تخصص اجباري، يعمل هذا المساق المتقدم على دراسة تطور الرواية والقصة والمسرحية في العالم العربي بعد الحرب العالمية الثانية (أي النصف الثاني من القرن العشرين وما يليه).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64B71"/>
    <w:rsid w:val="00DA5882"/>
    <w:rsid w:val="00DD4670"/>
    <w:rsid w:val="00DE24E1"/>
    <w:rsid w:val="00E30B96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69</cp:revision>
  <dcterms:created xsi:type="dcterms:W3CDTF">2020-11-26T17:28:00Z</dcterms:created>
  <dcterms:modified xsi:type="dcterms:W3CDTF">2020-11-27T10:52:00Z</dcterms:modified>
</cp:coreProperties>
</file>