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450C53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قضايا الأدب الجاهلي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450C53" w:rsidP="00450C53">
      <w:pPr>
        <w:jc w:val="both"/>
        <w:rPr>
          <w:rFonts w:cs="Simplified Arabic"/>
          <w:sz w:val="32"/>
          <w:szCs w:val="32"/>
          <w:rtl/>
        </w:rPr>
      </w:pPr>
      <w:r w:rsidRPr="00450C53">
        <w:rPr>
          <w:rFonts w:cs="Simplified Arabic"/>
          <w:sz w:val="32"/>
          <w:szCs w:val="32"/>
          <w:rtl/>
        </w:rPr>
        <w:t>كمتطلب تخصص اختياري، يتناول هذا المساق دراسة اهم القضايا المتصلة بالشعر الجاهلي: تدوينه، ونهج قصيدته وايام العرب، وتصويره للحياة العربية، واوليته، ولهجاته... الخ.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78</cp:revision>
  <dcterms:created xsi:type="dcterms:W3CDTF">2020-11-26T17:28:00Z</dcterms:created>
  <dcterms:modified xsi:type="dcterms:W3CDTF">2020-11-27T11:01:00Z</dcterms:modified>
</cp:coreProperties>
</file>