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702" w:type="dxa"/>
        <w:jc w:val="center"/>
        <w:tblInd w:w="-961" w:type="dxa"/>
        <w:tblLook w:val="01E0"/>
      </w:tblPr>
      <w:tblGrid>
        <w:gridCol w:w="2905"/>
        <w:gridCol w:w="7797"/>
      </w:tblGrid>
      <w:tr w:rsidR="00CD0C87" w:rsidRPr="00D3778D" w:rsidTr="00C44C0A">
        <w:trPr>
          <w:jc w:val="center"/>
        </w:trPr>
        <w:tc>
          <w:tcPr>
            <w:tcW w:w="2905" w:type="dxa"/>
            <w:tcBorders>
              <w:top w:val="single" w:sz="4" w:space="0" w:color="auto"/>
              <w:left w:val="single" w:sz="4" w:space="0" w:color="auto"/>
              <w:bottom w:val="single" w:sz="4" w:space="0" w:color="auto"/>
              <w:right w:val="single" w:sz="4" w:space="0" w:color="auto"/>
            </w:tcBorders>
            <w:shd w:val="clear" w:color="auto" w:fill="E6E6E6"/>
          </w:tcPr>
          <w:p w:rsidR="00CD0C87" w:rsidRPr="00D3778D" w:rsidRDefault="00CD0C87"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اسم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CD0C87" w:rsidRPr="00D3778D" w:rsidRDefault="00CD0C87"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جغرافية الوطن العربي واساليب تدريسه</w:t>
            </w:r>
          </w:p>
        </w:tc>
      </w:tr>
      <w:tr w:rsidR="00CD0C87" w:rsidRPr="00D3778D" w:rsidTr="00C44C0A">
        <w:trPr>
          <w:jc w:val="center"/>
        </w:trPr>
        <w:tc>
          <w:tcPr>
            <w:tcW w:w="2905" w:type="dxa"/>
            <w:tcBorders>
              <w:top w:val="single" w:sz="4" w:space="0" w:color="auto"/>
              <w:left w:val="single" w:sz="4" w:space="0" w:color="auto"/>
              <w:bottom w:val="single" w:sz="4" w:space="0" w:color="auto"/>
              <w:right w:val="single" w:sz="4" w:space="0" w:color="auto"/>
            </w:tcBorders>
            <w:shd w:val="clear" w:color="auto" w:fill="E6E6E6"/>
          </w:tcPr>
          <w:p w:rsidR="00CD0C87" w:rsidRPr="00D3778D" w:rsidRDefault="00CD0C87"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رقم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CD0C87" w:rsidRPr="00D3778D" w:rsidRDefault="00CD0C87"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 xml:space="preserve"> 701</w:t>
            </w:r>
            <w:r w:rsidRPr="00D3778D">
              <w:rPr>
                <w:rFonts w:ascii="Sakkal Majalla" w:hAnsi="Sakkal Majalla" w:cs="Sakkal Majalla" w:hint="cs"/>
                <w:sz w:val="28"/>
                <w:szCs w:val="28"/>
                <w:rtl/>
                <w:lang w:bidi="ar-JO"/>
              </w:rPr>
              <w:t>404</w:t>
            </w:r>
          </w:p>
        </w:tc>
      </w:tr>
      <w:tr w:rsidR="00CD0C87" w:rsidRPr="00D3778D" w:rsidTr="00C44C0A">
        <w:trPr>
          <w:jc w:val="center"/>
        </w:trPr>
        <w:tc>
          <w:tcPr>
            <w:tcW w:w="2905" w:type="dxa"/>
            <w:tcBorders>
              <w:top w:val="single" w:sz="4" w:space="0" w:color="auto"/>
              <w:left w:val="single" w:sz="4" w:space="0" w:color="auto"/>
              <w:bottom w:val="single" w:sz="4" w:space="0" w:color="auto"/>
              <w:right w:val="single" w:sz="4" w:space="0" w:color="auto"/>
            </w:tcBorders>
            <w:shd w:val="clear" w:color="auto" w:fill="E6E6E6"/>
          </w:tcPr>
          <w:p w:rsidR="00CD0C87" w:rsidRPr="00D3778D" w:rsidRDefault="00CD0C87"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الساعات المعتمدة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CD0C87" w:rsidRPr="00D3778D" w:rsidRDefault="00CD0C87"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(3) ساعات</w:t>
            </w:r>
          </w:p>
        </w:tc>
      </w:tr>
      <w:tr w:rsidR="00CD0C87" w:rsidRPr="00D3778D" w:rsidTr="00C44C0A">
        <w:trPr>
          <w:jc w:val="center"/>
        </w:trPr>
        <w:tc>
          <w:tcPr>
            <w:tcW w:w="2905" w:type="dxa"/>
            <w:tcBorders>
              <w:top w:val="single" w:sz="4" w:space="0" w:color="auto"/>
              <w:left w:val="single" w:sz="4" w:space="0" w:color="auto"/>
              <w:bottom w:val="single" w:sz="4" w:space="0" w:color="auto"/>
              <w:right w:val="single" w:sz="4" w:space="0" w:color="auto"/>
            </w:tcBorders>
            <w:shd w:val="clear" w:color="auto" w:fill="E6E6E6"/>
          </w:tcPr>
          <w:p w:rsidR="00CD0C87" w:rsidRPr="00D3778D" w:rsidRDefault="00CD0C87"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تصنيف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CD0C87" w:rsidRPr="00D3778D" w:rsidRDefault="00CD0C87"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إجباري تخصص</w:t>
            </w:r>
          </w:p>
        </w:tc>
      </w:tr>
      <w:tr w:rsidR="00CD0C87" w:rsidRPr="00D3778D" w:rsidTr="00C44C0A">
        <w:trPr>
          <w:jc w:val="center"/>
        </w:trPr>
        <w:tc>
          <w:tcPr>
            <w:tcW w:w="10702" w:type="dxa"/>
            <w:gridSpan w:val="2"/>
            <w:tcBorders>
              <w:top w:val="single" w:sz="4" w:space="0" w:color="auto"/>
              <w:left w:val="single" w:sz="4" w:space="0" w:color="auto"/>
              <w:bottom w:val="single" w:sz="4" w:space="0" w:color="auto"/>
              <w:right w:val="single" w:sz="4" w:space="0" w:color="auto"/>
            </w:tcBorders>
            <w:shd w:val="clear" w:color="auto" w:fill="E6E6E6"/>
          </w:tcPr>
          <w:p w:rsidR="00CD0C87" w:rsidRPr="00D3778D" w:rsidRDefault="00CD0C87"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وصف المساق :</w:t>
            </w:r>
          </w:p>
        </w:tc>
      </w:tr>
      <w:tr w:rsidR="00CD0C87" w:rsidRPr="00DD551D" w:rsidTr="00C44C0A">
        <w:trPr>
          <w:jc w:val="center"/>
        </w:trPr>
        <w:tc>
          <w:tcPr>
            <w:tcW w:w="10702" w:type="dxa"/>
            <w:gridSpan w:val="2"/>
            <w:tcBorders>
              <w:top w:val="single" w:sz="4" w:space="0" w:color="auto"/>
              <w:left w:val="single" w:sz="4" w:space="0" w:color="auto"/>
              <w:bottom w:val="single" w:sz="4" w:space="0" w:color="auto"/>
              <w:right w:val="single" w:sz="4" w:space="0" w:color="auto"/>
            </w:tcBorders>
          </w:tcPr>
          <w:p w:rsidR="00CD0C87" w:rsidRPr="00D3778D" w:rsidRDefault="00CD0C87" w:rsidP="00C44C0A">
            <w:pPr>
              <w:bidi/>
              <w:spacing w:line="360" w:lineRule="auto"/>
              <w:jc w:val="lowKashida"/>
              <w:rPr>
                <w:rFonts w:ascii="Sakkal Majalla" w:hAnsi="Sakkal Majalla" w:cs="Sakkal Majalla"/>
                <w:sz w:val="28"/>
                <w:szCs w:val="28"/>
                <w:lang w:bidi="ar-JO"/>
              </w:rPr>
            </w:pPr>
            <w:r w:rsidRPr="00D3778D">
              <w:rPr>
                <w:rFonts w:ascii="Sakkal Majalla" w:hAnsi="Sakkal Majalla" w:cs="Sakkal Majalla"/>
                <w:sz w:val="28"/>
                <w:szCs w:val="28"/>
                <w:rtl/>
                <w:lang w:bidi="ar-JO"/>
              </w:rPr>
              <w:t xml:space="preserve">     </w:t>
            </w:r>
            <w:r w:rsidRPr="00D3778D">
              <w:rPr>
                <w:rFonts w:ascii="Sakkal Majalla" w:hAnsi="Sakkal Majalla" w:cs="Sakkal Majalla" w:hint="cs"/>
                <w:sz w:val="28"/>
                <w:szCs w:val="28"/>
                <w:rtl/>
                <w:lang w:bidi="ar-JO"/>
              </w:rPr>
              <w:t xml:space="preserve">       </w:t>
            </w:r>
            <w:r w:rsidRPr="00D3778D">
              <w:rPr>
                <w:rFonts w:ascii="Sakkal Majalla" w:hAnsi="Sakkal Majalla" w:cs="Sakkal Majalla"/>
                <w:sz w:val="28"/>
                <w:szCs w:val="28"/>
                <w:rtl/>
                <w:lang w:bidi="ar-JO"/>
              </w:rPr>
              <w:t>يتناول المساق التخطيط الدراسي، مفهومه، وأهميته، ومستوياته، ومفهوم تحليل محتوى كتب التربية الاجتماعية، إضافة إلى استراتيجيات تدريس التربية الاجتماعية وبخاصة القصة والتدريس المباشر والاستقصاء وحل المشكلة والتفكير الناقد وطرق تعليم رسم الخرائط، وتعليم القيم والاتجاهات وتوظيف البيئة المحلية والأحداث الجارية في التربية الاجتماعية واستخدام النصوص والمصادر في تدريس التاريخ، والوسائل التعليمية، كما يتناول المساق التقويم في التربية الاجتماعية (مفهومه، أنواعه، استراتيجياته، أدواته)، إضافة إلى مفاهيم جغرافية الوطن العربي (موقعه، موارده المائية والزراعية وثروته المعدنية وتكامله الصناعي والتجاري، والتحضر وأهم البحار والمحيطات المطلة عليه وأبرز ممراته المائية، والتضاريس والمناخ والعوامل المؤثرة في توزيع سكان الوطن العربي والتفاوت الاجتماعي إضافة إلى مفهوم النظام البيئي، التوازن البيئي، الاحتباس الحراري والتصحر، ومؤشراته وعوامله وعواقبه وأبرز المناطق الصناعية والسياحية في المملكة الأردنية الهاشمية.</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CD0C87"/>
    <w:rsid w:val="00B357BC"/>
    <w:rsid w:val="00C7777A"/>
    <w:rsid w:val="00CD0C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C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0C8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2017-04-23T09:16:00Z</dcterms:created>
  <dcterms:modified xsi:type="dcterms:W3CDTF">2017-04-23T09:16:00Z</dcterms:modified>
</cp:coreProperties>
</file>