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42" w:rsidRPr="00912992" w:rsidRDefault="00F63742" w:rsidP="00887FF1">
      <w:pPr>
        <w:rPr>
          <w:rFonts w:asciiTheme="majorBidi" w:hAnsiTheme="majorBidi" w:cstheme="majorBid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775"/>
      </w:tblGrid>
      <w:tr w:rsidR="0027137F" w:rsidRPr="00912992" w:rsidTr="00E9575F">
        <w:trPr>
          <w:trHeight w:val="1789"/>
        </w:trPr>
        <w:tc>
          <w:tcPr>
            <w:tcW w:w="4774" w:type="dxa"/>
          </w:tcPr>
          <w:p w:rsidR="00E9575F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E9575F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 xml:space="preserve">Jerash University </w:t>
            </w:r>
          </w:p>
          <w:p w:rsidR="00E9575F" w:rsidRPr="00912992" w:rsidRDefault="00E9575F" w:rsidP="00E9575F">
            <w:pPr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>Faculty of Science</w:t>
            </w:r>
          </w:p>
          <w:p w:rsidR="00E9575F" w:rsidRDefault="00E9575F" w:rsidP="00E9575F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</w:rPr>
              <w:t>Department of Science/Mathematics</w:t>
            </w:r>
          </w:p>
          <w:p w:rsidR="0027137F" w:rsidRPr="00912992" w:rsidRDefault="00326D24" w:rsidP="00C415FA">
            <w:pPr>
              <w:spacing w:before="40" w:after="4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First</w:t>
            </w:r>
            <w:r w:rsidR="00AC1588">
              <w:rPr>
                <w:rFonts w:asciiTheme="majorBidi" w:hAnsiTheme="majorBidi" w:cstheme="majorBidi"/>
                <w:b/>
                <w:bCs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</w:rPr>
              <w:t>Semester 20</w:t>
            </w:r>
            <w:r w:rsidR="00C415FA">
              <w:rPr>
                <w:rFonts w:asciiTheme="majorBidi" w:hAnsiTheme="majorBidi" w:cstheme="majorBidi" w:hint="cs"/>
                <w:b/>
                <w:bCs/>
                <w:rtl/>
              </w:rPr>
              <w:t>20</w:t>
            </w:r>
            <w:r w:rsidR="00E9575F" w:rsidRPr="00912992">
              <w:rPr>
                <w:rFonts w:asciiTheme="majorBidi" w:hAnsiTheme="majorBidi" w:cstheme="majorBidi"/>
                <w:b/>
                <w:bCs/>
              </w:rPr>
              <w:t>-20</w:t>
            </w:r>
            <w:r w:rsidR="007D5AD2">
              <w:rPr>
                <w:rFonts w:asciiTheme="majorBidi" w:hAnsiTheme="majorBidi" w:cstheme="majorBidi"/>
                <w:b/>
                <w:bCs/>
              </w:rPr>
              <w:t>2</w:t>
            </w:r>
            <w:r w:rsidR="00C415FA">
              <w:rPr>
                <w:rFonts w:asciiTheme="majorBidi" w:hAnsiTheme="majorBidi" w:cstheme="majorBidi" w:hint="cs"/>
                <w:b/>
                <w:bCs/>
                <w:rtl/>
              </w:rPr>
              <w:t>1</w:t>
            </w:r>
          </w:p>
        </w:tc>
        <w:tc>
          <w:tcPr>
            <w:tcW w:w="4775" w:type="dxa"/>
          </w:tcPr>
          <w:p w:rsidR="0027137F" w:rsidRPr="00912992" w:rsidRDefault="00E9575F" w:rsidP="00E9575F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912992">
              <w:rPr>
                <w:rFonts w:asciiTheme="majorBidi" w:hAnsiTheme="majorBidi" w:cstheme="majorBidi"/>
                <w:b/>
                <w:bCs/>
                <w:noProof/>
                <w:lang w:eastAsia="en-US"/>
              </w:rPr>
              <w:drawing>
                <wp:inline distT="0" distB="0" distL="0" distR="0" wp14:anchorId="7F23BC21" wp14:editId="18F532A8">
                  <wp:extent cx="752475" cy="1110409"/>
                  <wp:effectExtent l="0" t="0" r="0" b="0"/>
                  <wp:docPr id="2" name="Picture 2" descr="C:\Users\HP\Dropbox\Jarash University\Jarash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P\Dropbox\Jarash University\Jarash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11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6269" w:rsidRPr="00912992" w:rsidRDefault="00AC6269" w:rsidP="00E9575F">
      <w:pPr>
        <w:spacing w:before="40" w:after="40"/>
        <w:rPr>
          <w:rFonts w:asciiTheme="majorBidi" w:hAnsiTheme="majorBidi" w:cstheme="majorBidi"/>
          <w:b/>
          <w:bCs/>
        </w:rPr>
      </w:pP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23"/>
        <w:gridCol w:w="7235"/>
      </w:tblGrid>
      <w:tr w:rsidR="002E77D8" w:rsidRPr="00912992">
        <w:trPr>
          <w:jc w:val="center"/>
        </w:trPr>
        <w:tc>
          <w:tcPr>
            <w:tcW w:w="9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2E77D8" w:rsidRPr="00912992" w:rsidRDefault="007F413D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Information</w:t>
            </w:r>
          </w:p>
        </w:tc>
      </w:tr>
      <w:tr w:rsidR="002E77D8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B2625" w:rsidRPr="00912992" w:rsidRDefault="007F2D44" w:rsidP="00553379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Mathematical Modeling</w:t>
            </w:r>
          </w:p>
        </w:tc>
      </w:tr>
      <w:tr w:rsidR="002E77D8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E77D8" w:rsidRPr="00912992" w:rsidRDefault="002E77D8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Number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E77D8" w:rsidRPr="00912992" w:rsidRDefault="00C415FA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C415FA">
              <w:rPr>
                <w:rFonts w:asciiTheme="majorBidi" w:hAnsiTheme="majorBidi" w:cstheme="majorBidi"/>
                <w:sz w:val="24"/>
                <w:szCs w:val="24"/>
              </w:rPr>
              <w:t>303472</w:t>
            </w:r>
          </w:p>
        </w:tc>
      </w:tr>
      <w:tr w:rsidR="00A740DF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0DF" w:rsidRPr="00912992" w:rsidRDefault="00A740DF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Prerequisites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0DF" w:rsidRPr="00912992" w:rsidRDefault="00C415FA" w:rsidP="00553379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303303</w:t>
            </w:r>
          </w:p>
        </w:tc>
      </w:tr>
      <w:tr w:rsidR="00461F47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912992" w:rsidRDefault="00A740DF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Instructor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61F47" w:rsidRPr="00912992" w:rsidRDefault="00461F47" w:rsidP="002D140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  <w:lang w:val="de-DE"/>
              </w:rPr>
            </w:pPr>
          </w:p>
        </w:tc>
      </w:tr>
      <w:tr w:rsidR="00461F47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61F47" w:rsidRPr="00912992" w:rsidRDefault="00461F47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Office </w:t>
            </w:r>
            <w:r w:rsidR="00A740DF"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Location</w:t>
            </w:r>
            <w:r w:rsidR="00030751"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3973DD" w:rsidRPr="00912992" w:rsidRDefault="003973DD" w:rsidP="00273B39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010B9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10B9" w:rsidRPr="00912992" w:rsidRDefault="00C010B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Office Hours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0B9" w:rsidRPr="00912992" w:rsidRDefault="007A4563" w:rsidP="007F2D44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  <w:tr w:rsidR="00C010B9" w:rsidRPr="00912992">
        <w:trPr>
          <w:jc w:val="center"/>
        </w:trPr>
        <w:tc>
          <w:tcPr>
            <w:tcW w:w="2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010B9" w:rsidRPr="00912992" w:rsidRDefault="00C010B9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7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010B9" w:rsidRPr="00912992" w:rsidRDefault="00C010B9" w:rsidP="002D140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FD44FB" w:rsidRPr="00912992">
        <w:trPr>
          <w:jc w:val="center"/>
        </w:trPr>
        <w:tc>
          <w:tcPr>
            <w:tcW w:w="945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FD44FB" w:rsidRPr="00912992" w:rsidRDefault="00FD44FB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Course Description </w:t>
            </w:r>
          </w:p>
        </w:tc>
      </w:tr>
      <w:tr w:rsidR="00FD44FB" w:rsidRPr="00912992">
        <w:trPr>
          <w:jc w:val="center"/>
        </w:trPr>
        <w:tc>
          <w:tcPr>
            <w:tcW w:w="945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D44FB" w:rsidRPr="005A6E0D" w:rsidRDefault="003237CA" w:rsidP="003237CA">
            <w:pPr>
              <w:pStyle w:val="PlainText"/>
              <w:spacing w:before="40" w:after="4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3237CA">
              <w:rPr>
                <w:rFonts w:asciiTheme="majorBidi" w:hAnsiTheme="majorBidi" w:cstheme="majorBidi"/>
                <w:sz w:val="24"/>
                <w:szCs w:val="24"/>
              </w:rPr>
              <w:t xml:space="preserve">This course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aims</w:t>
            </w:r>
            <w:r w:rsidRPr="003237CA">
              <w:rPr>
                <w:rFonts w:asciiTheme="majorBidi" w:hAnsiTheme="majorBidi" w:cstheme="majorBidi"/>
                <w:sz w:val="24"/>
                <w:szCs w:val="24"/>
              </w:rPr>
              <w:t xml:space="preserve"> to describe and explore real-world phenomena and data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. It covers </w:t>
            </w:r>
            <w:r w:rsidR="007F2D44" w:rsidRPr="007F2D44">
              <w:rPr>
                <w:rFonts w:asciiTheme="majorBidi" w:hAnsiTheme="majorBidi" w:cstheme="majorBidi"/>
                <w:sz w:val="24"/>
                <w:szCs w:val="24"/>
              </w:rPr>
              <w:t xml:space="preserve"> mathematical classification of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7F2D44" w:rsidRPr="007F2D44">
              <w:rPr>
                <w:rFonts w:asciiTheme="majorBidi" w:hAnsiTheme="majorBidi" w:cstheme="majorBidi"/>
                <w:sz w:val="24"/>
                <w:szCs w:val="24"/>
              </w:rPr>
              <w:t xml:space="preserve">odels, constraints and terminology on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m</w:t>
            </w:r>
            <w:r w:rsidR="007F2D44" w:rsidRPr="007F2D44">
              <w:rPr>
                <w:rFonts w:asciiTheme="majorBidi" w:hAnsiTheme="majorBidi" w:cstheme="majorBidi"/>
                <w:sz w:val="24"/>
                <w:szCs w:val="24"/>
              </w:rPr>
              <w:t xml:space="preserve">odels, modeling process, population dynamics models for single species, stability analysis of growth models, Fishing management models, scaling variables, bifurcation analysis of the </w:t>
            </w:r>
            <w:r w:rsidR="007F2D44">
              <w:rPr>
                <w:rFonts w:asciiTheme="majorBidi" w:hAnsiTheme="majorBidi" w:cstheme="majorBidi"/>
                <w:sz w:val="24"/>
                <w:szCs w:val="24"/>
              </w:rPr>
              <w:t xml:space="preserve">ordinary differential equation </w:t>
            </w:r>
            <w:r w:rsidR="007F2D44" w:rsidRPr="007F2D44">
              <w:rPr>
                <w:rFonts w:asciiTheme="majorBidi" w:hAnsiTheme="majorBidi" w:cstheme="majorBidi"/>
                <w:sz w:val="24"/>
                <w:szCs w:val="24"/>
              </w:rPr>
              <w:t xml:space="preserve"> y' = f(y, c); saddle-node, transcritical and Pitchfork bifurcations, models from science and finance, Newton's law of cooling or heating, Chemical Kinetic reactions, modeling by systems of equations, modeling interacting species; model building, different types of interactions models.</w:t>
            </w:r>
          </w:p>
        </w:tc>
      </w:tr>
    </w:tbl>
    <w:p w:rsidR="007277E1" w:rsidRPr="00912992" w:rsidRDefault="007277E1" w:rsidP="00912992">
      <w:pPr>
        <w:spacing w:before="40" w:after="40"/>
        <w:rPr>
          <w:rFonts w:asciiTheme="majorBidi" w:hAnsiTheme="majorBidi" w:cstheme="majorBidi"/>
        </w:rPr>
      </w:pPr>
    </w:p>
    <w:tbl>
      <w:tblPr>
        <w:tblW w:w="945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7193"/>
      </w:tblGrid>
      <w:tr w:rsidR="000D2A44" w:rsidRPr="00912992" w:rsidTr="007277E1">
        <w:trPr>
          <w:jc w:val="center"/>
        </w:trPr>
        <w:tc>
          <w:tcPr>
            <w:tcW w:w="9453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</w:tcPr>
          <w:p w:rsidR="000D2A44" w:rsidRPr="00912992" w:rsidRDefault="000D2A44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Text Book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C415FA" w:rsidP="00C415FA">
            <w:pPr>
              <w:rPr>
                <w:rFonts w:asciiTheme="majorBidi" w:hAnsiTheme="majorBidi" w:cstheme="majorBidi"/>
              </w:rPr>
            </w:pPr>
            <w:r w:rsidRPr="00C415FA">
              <w:rPr>
                <w:rFonts w:asciiTheme="majorBidi" w:hAnsiTheme="majorBidi" w:cstheme="majorBidi"/>
              </w:rPr>
              <w:t>Differential Equations, An Applied Approaches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Author(s)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63596" w:rsidRDefault="00C415FA" w:rsidP="00963596">
            <w:pPr>
              <w:rPr>
                <w:rFonts w:asciiTheme="majorBidi" w:hAnsiTheme="majorBidi" w:cstheme="majorBidi"/>
              </w:rPr>
            </w:pPr>
            <w:r w:rsidRPr="003C674C">
              <w:rPr>
                <w:rFonts w:ascii="Times New Roman" w:eastAsia="Garamond" w:hAnsi="Times New Roman" w:cs="Times New Roman"/>
                <w:color w:val="000000"/>
                <w:kern w:val="1"/>
                <w:lang w:eastAsia="zh-CN" w:bidi="hi-IN"/>
              </w:rPr>
              <w:t>Jim Cushing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C415FA" w:rsidP="00C415FA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C415FA">
              <w:rPr>
                <w:rFonts w:asciiTheme="majorBidi" w:hAnsiTheme="majorBidi" w:cstheme="majorBidi"/>
                <w:sz w:val="24"/>
                <w:szCs w:val="24"/>
              </w:rPr>
              <w:t>Pearson - Prentice Hall</w:t>
            </w:r>
          </w:p>
        </w:tc>
      </w:tr>
      <w:tr w:rsidR="000D2A44" w:rsidRPr="00912992" w:rsidTr="007277E1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0D2A44" w:rsidRPr="00912992" w:rsidRDefault="00C415FA" w:rsidP="008030C6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2004</w:t>
            </w:r>
          </w:p>
        </w:tc>
      </w:tr>
      <w:tr w:rsidR="000D2A44" w:rsidRPr="00912992" w:rsidTr="00BF60A6">
        <w:trPr>
          <w:trHeight w:val="581"/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D2A44" w:rsidRPr="00912992" w:rsidRDefault="000D2A44" w:rsidP="00984E36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7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277E1" w:rsidRPr="00912992" w:rsidRDefault="007277E1" w:rsidP="007277E1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277E1" w:rsidRDefault="007277E1" w:rsidP="00F3213E">
      <w:pPr>
        <w:spacing w:before="40" w:after="40"/>
        <w:rPr>
          <w:rFonts w:asciiTheme="majorBidi" w:hAnsiTheme="majorBidi" w:cstheme="majorBidi"/>
        </w:rPr>
      </w:pPr>
    </w:p>
    <w:p w:rsidR="007277E1" w:rsidRDefault="007277E1" w:rsidP="00F3213E">
      <w:pPr>
        <w:spacing w:before="40" w:after="40"/>
        <w:rPr>
          <w:rFonts w:asciiTheme="majorBidi" w:hAnsiTheme="majorBidi" w:cstheme="majorBidi"/>
        </w:rPr>
      </w:pPr>
    </w:p>
    <w:tbl>
      <w:tblPr>
        <w:tblW w:w="949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260"/>
        <w:gridCol w:w="4433"/>
        <w:gridCol w:w="2798"/>
      </w:tblGrid>
      <w:tr w:rsidR="007277E1" w:rsidRPr="00912992" w:rsidTr="009E5058">
        <w:trPr>
          <w:jc w:val="center"/>
        </w:trPr>
        <w:tc>
          <w:tcPr>
            <w:tcW w:w="949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pct10" w:color="auto" w:fill="auto"/>
          </w:tcPr>
          <w:p w:rsidR="007277E1" w:rsidRPr="00912992" w:rsidRDefault="007277E1" w:rsidP="009E5058">
            <w:pPr>
              <w:pStyle w:val="PlainText"/>
              <w:tabs>
                <w:tab w:val="center" w:pos="4637"/>
              </w:tabs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ab/>
            </w: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Policy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Assessment Type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Expected Due Date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Weight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First Exam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Second Exam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Final Exam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To be announced by the department.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40%</w:t>
            </w:r>
          </w:p>
        </w:tc>
      </w:tr>
      <w:tr w:rsidR="007277E1" w:rsidRPr="00912992" w:rsidTr="009E5058">
        <w:trPr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CA3093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Assignments 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77E1" w:rsidRPr="00912992" w:rsidRDefault="00267D85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Ten </w:t>
            </w:r>
            <w:r w:rsidR="00CA3093">
              <w:rPr>
                <w:rFonts w:asciiTheme="majorBidi" w:hAnsiTheme="majorBidi" w:cstheme="majorBidi"/>
                <w:sz w:val="24"/>
                <w:szCs w:val="24"/>
              </w:rPr>
              <w:t xml:space="preserve"> assignments will be consider</w:t>
            </w:r>
            <w:r w:rsidR="006E6203">
              <w:rPr>
                <w:rFonts w:asciiTheme="majorBidi" w:hAnsiTheme="majorBidi" w:cstheme="majorBidi"/>
                <w:sz w:val="24"/>
                <w:szCs w:val="24"/>
              </w:rPr>
              <w:t>ed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20%</w:t>
            </w:r>
          </w:p>
        </w:tc>
      </w:tr>
      <w:tr w:rsidR="007277E1" w:rsidRPr="00912992" w:rsidTr="009E5058">
        <w:trPr>
          <w:trHeight w:val="373"/>
          <w:jc w:val="center"/>
        </w:trPr>
        <w:tc>
          <w:tcPr>
            <w:tcW w:w="22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E1" w:rsidRPr="00912992" w:rsidRDefault="007277E1" w:rsidP="009E5058">
            <w:pPr>
              <w:pStyle w:val="PlainText"/>
              <w:spacing w:before="40" w:after="4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Over all</w:t>
            </w:r>
          </w:p>
        </w:tc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7E1" w:rsidRPr="00912992" w:rsidRDefault="007277E1" w:rsidP="009E5058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77E1" w:rsidRPr="00912992" w:rsidRDefault="007277E1" w:rsidP="009E5058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sz w:val="24"/>
                <w:szCs w:val="24"/>
              </w:rPr>
              <w:t>100%</w:t>
            </w:r>
          </w:p>
        </w:tc>
      </w:tr>
    </w:tbl>
    <w:p w:rsidR="007277E1" w:rsidRDefault="007277E1" w:rsidP="00F3213E">
      <w:pPr>
        <w:spacing w:before="40" w:after="40"/>
        <w:rPr>
          <w:rFonts w:asciiTheme="majorBidi" w:hAnsiTheme="majorBidi" w:cstheme="majorBidi"/>
        </w:rPr>
      </w:pPr>
    </w:p>
    <w:p w:rsidR="00BF60A6" w:rsidRDefault="00BF60A6" w:rsidP="00F3213E">
      <w:pPr>
        <w:spacing w:before="40" w:after="40"/>
        <w:rPr>
          <w:rFonts w:asciiTheme="majorBidi" w:hAnsiTheme="majorBidi" w:cstheme="majorBidi"/>
        </w:rPr>
      </w:pPr>
    </w:p>
    <w:p w:rsidR="00BF60A6" w:rsidRDefault="00BF60A6" w:rsidP="00F3213E">
      <w:pPr>
        <w:spacing w:before="40" w:after="40"/>
        <w:rPr>
          <w:rFonts w:asciiTheme="majorBidi" w:hAnsiTheme="majorBidi" w:cstheme="majorBidi"/>
        </w:rPr>
      </w:pPr>
    </w:p>
    <w:p w:rsidR="007C1D72" w:rsidRPr="00912992" w:rsidRDefault="007C1D72" w:rsidP="00F3213E">
      <w:pPr>
        <w:spacing w:before="40" w:after="40"/>
        <w:rPr>
          <w:rFonts w:asciiTheme="majorBidi" w:hAnsiTheme="majorBidi" w:cstheme="majorBidi"/>
        </w:rPr>
      </w:pPr>
    </w:p>
    <w:tbl>
      <w:tblPr>
        <w:tblW w:w="94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BE7A32" w:rsidRPr="00912992" w:rsidTr="000441FE">
        <w:trPr>
          <w:jc w:val="center"/>
        </w:trPr>
        <w:tc>
          <w:tcPr>
            <w:tcW w:w="9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BE7A32" w:rsidRPr="00912992" w:rsidRDefault="00BE7A32" w:rsidP="00984E36">
            <w:pPr>
              <w:pStyle w:val="PlainText"/>
              <w:spacing w:before="40" w:after="4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1299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Course Objective</w:t>
            </w:r>
          </w:p>
        </w:tc>
      </w:tr>
      <w:tr w:rsidR="00CA3093" w:rsidRPr="00912992" w:rsidTr="00797E1E">
        <w:trPr>
          <w:trHeight w:val="1492"/>
          <w:jc w:val="center"/>
        </w:trPr>
        <w:tc>
          <w:tcPr>
            <w:tcW w:w="94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CA3093" w:rsidRPr="008030C6" w:rsidRDefault="003237CA" w:rsidP="003237CA">
            <w:pPr>
              <w:autoSpaceDE w:val="0"/>
              <w:autoSpaceDN w:val="0"/>
              <w:spacing w:before="240"/>
              <w:jc w:val="both"/>
              <w:rPr>
                <w:rFonts w:asciiTheme="majorBidi" w:hAnsiTheme="majorBidi" w:cstheme="majorBidi"/>
                <w:lang w:val="en-AU" w:bidi="ar-JO"/>
              </w:rPr>
            </w:pPr>
            <w:r w:rsidRPr="003237CA">
              <w:rPr>
                <w:rFonts w:asciiTheme="majorBidi" w:hAnsiTheme="majorBidi" w:cstheme="majorBidi"/>
                <w:lang w:bidi="ar-JO"/>
              </w:rPr>
              <w:t>This course is devoted to give as much as possible of applications to linear and nonlinear ordinary differential equations through Mathematical modeling approach.</w:t>
            </w:r>
          </w:p>
        </w:tc>
      </w:tr>
    </w:tbl>
    <w:p w:rsidR="00BF60A6" w:rsidRDefault="00BF60A6" w:rsidP="00974F36">
      <w:pPr>
        <w:rPr>
          <w:rFonts w:asciiTheme="majorBidi" w:hAnsiTheme="majorBidi" w:cstheme="majorBidi"/>
        </w:rPr>
      </w:pPr>
    </w:p>
    <w:tbl>
      <w:tblPr>
        <w:tblW w:w="949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3237CA" w:rsidRPr="003237CA" w:rsidTr="00AC3BB0">
        <w:trPr>
          <w:jc w:val="center"/>
        </w:trPr>
        <w:tc>
          <w:tcPr>
            <w:tcW w:w="94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auto"/>
          </w:tcPr>
          <w:p w:rsidR="003237CA" w:rsidRPr="003237CA" w:rsidRDefault="003237CA" w:rsidP="003237CA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3237CA">
              <w:rPr>
                <w:rFonts w:asciiTheme="majorBidi" w:hAnsiTheme="majorBidi" w:cstheme="majorBidi"/>
                <w:b/>
                <w:bCs/>
              </w:rPr>
              <w:t>Course Outcomes</w:t>
            </w:r>
          </w:p>
        </w:tc>
      </w:tr>
      <w:tr w:rsidR="003237CA" w:rsidRPr="003237CA" w:rsidTr="00AC3BB0">
        <w:trPr>
          <w:trHeight w:val="1492"/>
          <w:jc w:val="center"/>
        </w:trPr>
        <w:tc>
          <w:tcPr>
            <w:tcW w:w="9492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237CA" w:rsidRPr="003237CA" w:rsidRDefault="003237CA" w:rsidP="003237CA">
            <w:pPr>
              <w:numPr>
                <w:ilvl w:val="0"/>
                <w:numId w:val="46"/>
              </w:numPr>
              <w:shd w:val="clear" w:color="auto" w:fill="FFFFFF"/>
              <w:suppressAutoHyphens/>
              <w:spacing w:after="160" w:line="252" w:lineRule="auto"/>
              <w:ind w:left="247" w:right="162" w:hanging="180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237CA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Ability to model situations from a variety of settings in differential equations forms</w:t>
            </w:r>
            <w:r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.</w:t>
            </w:r>
          </w:p>
          <w:p w:rsidR="003237CA" w:rsidRPr="003237CA" w:rsidRDefault="003237CA" w:rsidP="003237CA">
            <w:pPr>
              <w:numPr>
                <w:ilvl w:val="0"/>
                <w:numId w:val="46"/>
              </w:numPr>
              <w:shd w:val="clear" w:color="auto" w:fill="FFFFFF"/>
              <w:suppressAutoHyphens/>
              <w:spacing w:after="160" w:line="252" w:lineRule="auto"/>
              <w:ind w:left="247" w:right="162" w:hanging="180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237CA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Ability to express and manipulate mathematical information, concepts, and thoughts using differential equations.</w:t>
            </w:r>
          </w:p>
          <w:p w:rsidR="003237CA" w:rsidRDefault="003237CA" w:rsidP="003237CA">
            <w:pPr>
              <w:numPr>
                <w:ilvl w:val="0"/>
                <w:numId w:val="46"/>
              </w:numPr>
              <w:shd w:val="clear" w:color="auto" w:fill="FFFFFF"/>
              <w:suppressAutoHyphens/>
              <w:spacing w:after="160" w:line="252" w:lineRule="auto"/>
              <w:ind w:left="247" w:right="162" w:hanging="180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237CA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Ability to solve multiple-step problems using differential equations.</w:t>
            </w:r>
          </w:p>
          <w:p w:rsidR="003237CA" w:rsidRPr="003237CA" w:rsidRDefault="003237CA" w:rsidP="003237CA">
            <w:pPr>
              <w:numPr>
                <w:ilvl w:val="0"/>
                <w:numId w:val="46"/>
              </w:numPr>
              <w:shd w:val="clear" w:color="auto" w:fill="FFFFFF"/>
              <w:suppressAutoHyphens/>
              <w:spacing w:after="160" w:line="252" w:lineRule="auto"/>
              <w:ind w:left="247" w:right="162" w:hanging="180"/>
              <w:jc w:val="both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237CA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Ability to extract quantitative data from a given situation, translate the data into differential equations.</w:t>
            </w:r>
          </w:p>
        </w:tc>
      </w:tr>
    </w:tbl>
    <w:p w:rsidR="003237CA" w:rsidRDefault="003237CA" w:rsidP="00974F36">
      <w:pPr>
        <w:rPr>
          <w:rFonts w:asciiTheme="majorBidi" w:hAnsiTheme="majorBidi" w:cstheme="majorBidi"/>
        </w:rPr>
      </w:pPr>
    </w:p>
    <w:p w:rsidR="003237CA" w:rsidRPr="00912992" w:rsidRDefault="003237CA" w:rsidP="00974F36">
      <w:pPr>
        <w:rPr>
          <w:rFonts w:asciiTheme="majorBidi" w:hAnsiTheme="majorBidi" w:cstheme="majorBidi"/>
        </w:rPr>
      </w:pPr>
    </w:p>
    <w:tbl>
      <w:tblPr>
        <w:tblW w:w="9369" w:type="dxa"/>
        <w:tblInd w:w="-29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352"/>
        <w:gridCol w:w="1620"/>
        <w:gridCol w:w="1397"/>
      </w:tblGrid>
      <w:tr w:rsidR="003C674C" w:rsidRPr="003C674C" w:rsidTr="003C674C">
        <w:trPr>
          <w:trHeight w:val="417"/>
        </w:trPr>
        <w:tc>
          <w:tcPr>
            <w:tcW w:w="6352" w:type="dxa"/>
            <w:tcBorders>
              <w:top w:val="double" w:sz="4" w:space="0" w:color="000001"/>
              <w:bottom w:val="double" w:sz="4" w:space="0" w:color="000001"/>
            </w:tcBorders>
            <w:shd w:val="clear" w:color="auto" w:fill="D9D9D9"/>
            <w:vAlign w:val="center"/>
          </w:tcPr>
          <w:p w:rsidR="003C674C" w:rsidRPr="003C674C" w:rsidRDefault="003C674C" w:rsidP="003C674C">
            <w:pPr>
              <w:suppressAutoHyphens/>
              <w:ind w:hanging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t>Topics</w:t>
            </w:r>
          </w:p>
        </w:tc>
        <w:tc>
          <w:tcPr>
            <w:tcW w:w="1620" w:type="dxa"/>
            <w:tcBorders>
              <w:top w:val="double" w:sz="4" w:space="0" w:color="000001"/>
              <w:bottom w:val="double" w:sz="4" w:space="0" w:color="000001"/>
            </w:tcBorders>
            <w:shd w:val="clear" w:color="auto" w:fill="D9D9D9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t># of lectures</w:t>
            </w:r>
          </w:p>
        </w:tc>
        <w:tc>
          <w:tcPr>
            <w:tcW w:w="1397" w:type="dxa"/>
            <w:tcBorders>
              <w:top w:val="double" w:sz="4" w:space="0" w:color="000001"/>
              <w:bottom w:val="double" w:sz="4" w:space="0" w:color="000001"/>
            </w:tcBorders>
            <w:shd w:val="clear" w:color="auto" w:fill="D9D9D9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t># of weeks</w:t>
            </w:r>
          </w:p>
        </w:tc>
      </w:tr>
      <w:tr w:rsidR="003C674C" w:rsidRPr="003C674C" w:rsidTr="003C674C">
        <w:trPr>
          <w:trHeight w:val="34"/>
        </w:trPr>
        <w:tc>
          <w:tcPr>
            <w:tcW w:w="6352" w:type="dxa"/>
            <w:tcBorders>
              <w:top w:val="double" w:sz="4" w:space="0" w:color="000001"/>
            </w:tcBorders>
            <w:shd w:val="clear" w:color="auto" w:fill="auto"/>
          </w:tcPr>
          <w:p w:rsidR="003C674C" w:rsidRPr="003C674C" w:rsidRDefault="003C674C" w:rsidP="003C674C">
            <w:pPr>
              <w:suppressAutoHyphens/>
              <w:ind w:left="342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bookmarkStart w:id="0" w:name="_GoBack" w:colFirst="1" w:colLast="1"/>
            <w:r w:rsidRPr="003C674C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t>Introduction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Definitions, Uses and Forms of Models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Mathematical classification of Models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Constraints and terminology on Models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Modeling process</w:t>
            </w:r>
          </w:p>
        </w:tc>
        <w:tc>
          <w:tcPr>
            <w:tcW w:w="1620" w:type="dxa"/>
            <w:tcBorders>
              <w:top w:val="double" w:sz="4" w:space="0" w:color="000001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top w:val="double" w:sz="4" w:space="0" w:color="000001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bookmarkEnd w:id="0"/>
      <w:tr w:rsidR="003C674C" w:rsidRPr="003C674C" w:rsidTr="003C674C">
        <w:trPr>
          <w:trHeight w:val="816"/>
        </w:trPr>
        <w:tc>
          <w:tcPr>
            <w:tcW w:w="6352" w:type="dxa"/>
            <w:tcBorders>
              <w:bottom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suppressAutoHyphens/>
              <w:ind w:left="342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t>Population Dynamics Models for Single Species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Continuous Growth Models( The exponential and logistic Models)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 xml:space="preserve">Stability Analysis of Growth Models 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236"/>
        </w:trPr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 xml:space="preserve">Fishing Management Models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236"/>
        </w:trPr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 xml:space="preserve">Scaling Variables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591"/>
        </w:trPr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bifurcation analysis of the ODE y' = f(y, c); saddle-node, transcritical</w:t>
            </w:r>
            <w:r w:rsidRPr="003C674C">
              <w:rPr>
                <w:rFonts w:ascii="Times New Roman" w:eastAsia="Times New Roman" w:hAnsi="Times New Roman" w:cs="Times New Roman"/>
                <w:lang w:eastAsia="en-US"/>
              </w:rPr>
              <w:t xml:space="preserve"> and Pitchfork bifurcations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763"/>
        </w:trPr>
        <w:tc>
          <w:tcPr>
            <w:tcW w:w="6352" w:type="dxa"/>
            <w:tcBorders>
              <w:bottom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suppressAutoHyphens/>
              <w:ind w:left="342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t>Models From Science and Finance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Modeling Radioactivity Decay, Radicarbon dating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Compound Interest Models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505"/>
        </w:trPr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Newton's law of cooling or heating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Compartment Models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269"/>
        </w:trPr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Chemical Kinetic reactions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230"/>
        </w:trPr>
        <w:tc>
          <w:tcPr>
            <w:tcW w:w="6352" w:type="dxa"/>
            <w:tcBorders>
              <w:top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Strange Oscillation in a chemical Reactor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814"/>
        </w:trPr>
        <w:tc>
          <w:tcPr>
            <w:tcW w:w="6352" w:type="dxa"/>
            <w:tcBorders>
              <w:bottom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suppressAutoHyphens/>
              <w:ind w:left="342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  <w:lastRenderedPageBreak/>
              <w:t>Modeling  by  System of  Equations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Introduction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Properties of Systems, The fundamental Theorem of Systems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516"/>
        </w:trPr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Stability Analysis of Linear Systems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Simple Tests to locate the Eigenvalues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268"/>
        </w:trPr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The Linearization method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494"/>
        </w:trPr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Modeling interacting species, Model building, Different Types of Interactions.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  <w:tr w:rsidR="003C674C" w:rsidRPr="003C674C" w:rsidTr="003C674C">
        <w:trPr>
          <w:trHeight w:val="464"/>
        </w:trPr>
        <w:tc>
          <w:tcPr>
            <w:tcW w:w="6352" w:type="dxa"/>
            <w:tcBorders>
              <w:top w:val="single" w:sz="4" w:space="0" w:color="auto"/>
            </w:tcBorders>
            <w:shd w:val="clear" w:color="auto" w:fill="auto"/>
          </w:tcPr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Competition Models</w:t>
            </w:r>
          </w:p>
          <w:p w:rsidR="003C674C" w:rsidRPr="003C674C" w:rsidRDefault="003C674C" w:rsidP="003C674C">
            <w:pPr>
              <w:numPr>
                <w:ilvl w:val="0"/>
                <w:numId w:val="47"/>
              </w:numPr>
              <w:suppressAutoHyphens/>
              <w:spacing w:after="160" w:line="252" w:lineRule="auto"/>
              <w:ind w:left="318" w:hanging="270"/>
              <w:jc w:val="both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Predator-Prey Models</w:t>
            </w:r>
          </w:p>
        </w:tc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3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C674C" w:rsidRPr="003C674C" w:rsidRDefault="003C674C" w:rsidP="003C674C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1</w:t>
            </w:r>
          </w:p>
        </w:tc>
      </w:tr>
    </w:tbl>
    <w:p w:rsidR="00887FF1" w:rsidRDefault="00887FF1" w:rsidP="00887FF1">
      <w:pPr>
        <w:rPr>
          <w:rFonts w:asciiTheme="majorBidi" w:hAnsiTheme="majorBidi" w:cstheme="majorBidi"/>
          <w:rtl/>
        </w:rPr>
      </w:pPr>
    </w:p>
    <w:tbl>
      <w:tblPr>
        <w:tblpPr w:leftFromText="180" w:rightFromText="180" w:vertAnchor="text" w:horzAnchor="page" w:tblpX="2055" w:tblpY="346"/>
        <w:bidiVisual/>
        <w:tblW w:w="9356" w:type="dxa"/>
        <w:tblBorders>
          <w:top w:val="double" w:sz="4" w:space="0" w:color="000001"/>
          <w:left w:val="double" w:sz="4" w:space="0" w:color="000001"/>
          <w:bottom w:val="double" w:sz="4" w:space="0" w:color="000001"/>
          <w:right w:val="double" w:sz="4" w:space="0" w:color="000001"/>
          <w:insideH w:val="single" w:sz="4" w:space="0" w:color="000001"/>
          <w:insideV w:val="single" w:sz="4" w:space="0" w:color="000001"/>
        </w:tblBorders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59"/>
        <w:gridCol w:w="2410"/>
        <w:gridCol w:w="2340"/>
        <w:gridCol w:w="3047"/>
      </w:tblGrid>
      <w:tr w:rsidR="00C415FA" w:rsidRPr="003C674C" w:rsidTr="00C415FA">
        <w:trPr>
          <w:trHeight w:val="456"/>
        </w:trPr>
        <w:tc>
          <w:tcPr>
            <w:tcW w:w="1559" w:type="dxa"/>
            <w:shd w:val="clear" w:color="auto" w:fill="D9D9D9"/>
            <w:vAlign w:val="center"/>
          </w:tcPr>
          <w:p w:rsidR="00C415FA" w:rsidRPr="003C674C" w:rsidRDefault="00C415FA" w:rsidP="00C415FA">
            <w:pPr>
              <w:suppressAutoHyphens/>
              <w:ind w:left="-8383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rtl/>
                <w:lang w:eastAsia="zh-CN" w:bidi="ar-JO"/>
              </w:rPr>
            </w:pPr>
            <w:r w:rsidRPr="003C674C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zh-CN" w:bidi="ar-JO"/>
              </w:rPr>
              <w:t>Year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C415FA" w:rsidRPr="003C674C" w:rsidRDefault="00C415FA" w:rsidP="00C415F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rtl/>
                <w:lang w:eastAsia="zh-CN" w:bidi="ar-JO"/>
              </w:rPr>
            </w:pPr>
            <w:r w:rsidRPr="003C674C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zh-CN" w:bidi="ar-JO"/>
              </w:rPr>
              <w:t>Publisher</w:t>
            </w:r>
          </w:p>
        </w:tc>
        <w:tc>
          <w:tcPr>
            <w:tcW w:w="2340" w:type="dxa"/>
            <w:shd w:val="clear" w:color="auto" w:fill="D9D9D9"/>
            <w:vAlign w:val="center"/>
          </w:tcPr>
          <w:p w:rsidR="00C415FA" w:rsidRPr="003C674C" w:rsidRDefault="00C415FA" w:rsidP="00C415F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rtl/>
                <w:lang w:eastAsia="zh-CN" w:bidi="ar-JO"/>
              </w:rPr>
            </w:pPr>
            <w:r w:rsidRPr="003C674C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zh-CN" w:bidi="ar-JO"/>
              </w:rPr>
              <w:t>Author</w:t>
            </w:r>
          </w:p>
        </w:tc>
        <w:tc>
          <w:tcPr>
            <w:tcW w:w="3047" w:type="dxa"/>
            <w:shd w:val="clear" w:color="auto" w:fill="D9D9D9"/>
            <w:vAlign w:val="center"/>
          </w:tcPr>
          <w:p w:rsidR="00C415FA" w:rsidRPr="003C674C" w:rsidRDefault="00C415FA" w:rsidP="00C415FA">
            <w:pPr>
              <w:suppressAutoHyphens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rtl/>
                <w:lang w:eastAsia="zh-CN" w:bidi="ar-JO"/>
              </w:rPr>
            </w:pPr>
            <w:r w:rsidRPr="003C674C">
              <w:rPr>
                <w:rFonts w:ascii="Times New Roman" w:eastAsia="Arial Unicode MS" w:hAnsi="Times New Roman" w:cs="Times New Roman"/>
                <w:b/>
                <w:bCs/>
                <w:color w:val="000000"/>
                <w:kern w:val="1"/>
                <w:lang w:eastAsia="zh-CN" w:bidi="ar-JO"/>
              </w:rPr>
              <w:t>Title</w:t>
            </w:r>
          </w:p>
        </w:tc>
      </w:tr>
      <w:tr w:rsidR="00C415FA" w:rsidRPr="003C674C" w:rsidTr="00C415FA">
        <w:trPr>
          <w:trHeight w:val="572"/>
        </w:trPr>
        <w:tc>
          <w:tcPr>
            <w:tcW w:w="1559" w:type="dxa"/>
            <w:shd w:val="clear" w:color="auto" w:fill="auto"/>
            <w:vAlign w:val="center"/>
          </w:tcPr>
          <w:p w:rsidR="00C415FA" w:rsidRPr="003C674C" w:rsidRDefault="00C415FA" w:rsidP="00C415FA">
            <w:pPr>
              <w:suppressAutoHyphens/>
              <w:ind w:left="67" w:right="72" w:firstLine="427"/>
              <w:rPr>
                <w:rFonts w:ascii="Times New Roman" w:eastAsia="Times New Roman" w:hAnsi="Times New Roman" w:cs="Times New Roman"/>
                <w:color w:val="000000"/>
                <w:kern w:val="1"/>
                <w:rtl/>
                <w:cs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2004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15FA" w:rsidRPr="003C674C" w:rsidRDefault="00C415FA" w:rsidP="00C415FA">
            <w:pPr>
              <w:suppressAutoHyphens/>
              <w:jc w:val="center"/>
              <w:rPr>
                <w:rFonts w:ascii="Times New Roman" w:eastAsia="Garamond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Pearson - Prentice Hall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415FA" w:rsidRPr="003C674C" w:rsidRDefault="00C415FA" w:rsidP="00C415F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rtl/>
                <w:cs/>
                <w:lang w:eastAsia="zh-CN" w:bidi="hi-IN"/>
              </w:rPr>
            </w:pPr>
            <w:r w:rsidRPr="003C674C">
              <w:rPr>
                <w:rFonts w:ascii="Times New Roman" w:eastAsia="Garamond" w:hAnsi="Times New Roman" w:cs="Times New Roman"/>
                <w:color w:val="000000"/>
                <w:kern w:val="1"/>
                <w:lang w:eastAsia="zh-CN" w:bidi="hi-IN"/>
              </w:rPr>
              <w:t>Jim Cushing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C415FA" w:rsidRPr="003C674C" w:rsidRDefault="00C415FA" w:rsidP="00C415F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Garamond" w:hAnsi="Times New Roman" w:cs="Times New Roman"/>
                <w:color w:val="000000"/>
                <w:kern w:val="1"/>
                <w:lang w:eastAsia="zh-CN" w:bidi="hi-IN"/>
              </w:rPr>
              <w:t>Differential Equations, An Applied Approaches</w:t>
            </w:r>
          </w:p>
        </w:tc>
      </w:tr>
      <w:tr w:rsidR="00C415FA" w:rsidRPr="003C674C" w:rsidTr="00C415FA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:rsidR="00C415FA" w:rsidRPr="003C674C" w:rsidRDefault="00C415FA" w:rsidP="00C415F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rtl/>
                <w:cs/>
                <w:lang w:eastAsia="zh-CN" w:bidi="hi-IN"/>
              </w:rPr>
            </w:pPr>
            <w:r>
              <w:rPr>
                <w:rFonts w:ascii="Times New Roman" w:eastAsia="Times New Roman" w:hAnsi="Times New Roman" w:cs="Times New Roman" w:hint="cs"/>
                <w:color w:val="000000"/>
                <w:kern w:val="1"/>
                <w:rtl/>
                <w:lang w:eastAsia="zh-CN" w:bidi="ar-JO"/>
              </w:rPr>
              <w:t xml:space="preserve">  </w:t>
            </w: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2002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15FA" w:rsidRPr="003C674C" w:rsidRDefault="00C415FA" w:rsidP="00C415F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rtl/>
                <w:cs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Springer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415FA" w:rsidRPr="003C674C" w:rsidRDefault="00C415FA" w:rsidP="00C415FA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Calibri" w:hAnsi="Times New Roman" w:cs="Times New Roman"/>
                <w:bCs/>
                <w:color w:val="333333"/>
                <w:kern w:val="1"/>
                <w:shd w:val="clear" w:color="auto" w:fill="FFFFFF"/>
                <w:lang w:eastAsia="zh-CN" w:bidi="hi-IN"/>
              </w:rPr>
              <w:t>Murray</w:t>
            </w:r>
            <w:r w:rsidRPr="003C674C">
              <w:rPr>
                <w:rFonts w:ascii="Times New Roman" w:eastAsia="Calibri" w:hAnsi="Times New Roman" w:cs="Times New Roman"/>
                <w:color w:val="333333"/>
                <w:kern w:val="1"/>
                <w:shd w:val="clear" w:color="auto" w:fill="FFFFFF"/>
                <w:lang w:eastAsia="zh-CN" w:bidi="hi-IN"/>
              </w:rPr>
              <w:t>, James D.</w:t>
            </w:r>
          </w:p>
        </w:tc>
        <w:tc>
          <w:tcPr>
            <w:tcW w:w="3047" w:type="dxa"/>
            <w:shd w:val="clear" w:color="auto" w:fill="auto"/>
            <w:vAlign w:val="center"/>
          </w:tcPr>
          <w:p w:rsidR="00C415FA" w:rsidRPr="003C674C" w:rsidRDefault="00C415FA" w:rsidP="00C415FA">
            <w:pPr>
              <w:suppressAutoHyphens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  <w:t>Mathematical Biology</w:t>
            </w:r>
          </w:p>
        </w:tc>
      </w:tr>
      <w:tr w:rsidR="00C415FA" w:rsidRPr="003C674C" w:rsidTr="00C415FA">
        <w:trPr>
          <w:trHeight w:val="698"/>
        </w:trPr>
        <w:tc>
          <w:tcPr>
            <w:tcW w:w="1559" w:type="dxa"/>
            <w:shd w:val="clear" w:color="auto" w:fill="auto"/>
            <w:vAlign w:val="center"/>
          </w:tcPr>
          <w:p w:rsidR="00C415FA" w:rsidRPr="003C674C" w:rsidRDefault="00C415FA" w:rsidP="00C415F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rtl/>
                <w:cs/>
                <w:lang w:eastAsia="zh-CN" w:bidi="hi-IN"/>
              </w:rPr>
            </w:pPr>
            <w:r w:rsidRPr="003C674C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2004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15FA" w:rsidRPr="003C674C" w:rsidRDefault="00C415FA" w:rsidP="00C415F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rtl/>
                <w:cs/>
                <w:lang w:eastAsia="zh-CN" w:bidi="hi-IN"/>
              </w:rPr>
            </w:pPr>
            <w:r w:rsidRPr="003C674C"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  <w:t>Wiley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415FA" w:rsidRPr="003C674C" w:rsidRDefault="00400D8D" w:rsidP="00C415F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shd w:val="clear" w:color="auto" w:fill="FFFFFF"/>
                <w:lang w:eastAsia="zh-CN" w:bidi="hi-IN"/>
              </w:rPr>
            </w:pPr>
            <w:hyperlink r:id="rId9" w:history="1">
              <w:r w:rsidR="00C415FA" w:rsidRPr="003C674C">
                <w:rPr>
                  <w:rFonts w:ascii="Times New Roman" w:eastAsia="Calibri" w:hAnsi="Times New Roman" w:cs="Times New Roman"/>
                  <w:color w:val="000000"/>
                  <w:kern w:val="1"/>
                  <w:shd w:val="clear" w:color="auto" w:fill="FFFFFF"/>
                  <w:lang w:eastAsia="zh-CN" w:bidi="hi-IN"/>
                </w:rPr>
                <w:t>Robert L. Borrelli</w:t>
              </w:r>
            </w:hyperlink>
            <w:r w:rsidR="00C415FA" w:rsidRPr="003C674C">
              <w:rPr>
                <w:rFonts w:ascii="Times New Roman" w:eastAsia="Calibri" w:hAnsi="Times New Roman" w:cs="Times New Roman"/>
                <w:color w:val="000000"/>
                <w:kern w:val="1"/>
                <w:shd w:val="clear" w:color="auto" w:fill="FFFFFF"/>
                <w:lang w:eastAsia="zh-CN" w:bidi="hi-IN"/>
              </w:rPr>
              <w:t>,</w:t>
            </w:r>
          </w:p>
          <w:p w:rsidR="00C415FA" w:rsidRPr="003C674C" w:rsidRDefault="00400D8D" w:rsidP="00C415FA">
            <w:pPr>
              <w:suppressAutoHyphens/>
              <w:snapToGrid w:val="0"/>
              <w:jc w:val="center"/>
              <w:rPr>
                <w:rFonts w:ascii="Times New Roman" w:eastAsia="Calibri" w:hAnsi="Times New Roman" w:cs="Times New Roman"/>
                <w:color w:val="000000"/>
                <w:kern w:val="1"/>
                <w:lang w:eastAsia="zh-CN" w:bidi="hi-IN"/>
              </w:rPr>
            </w:pPr>
            <w:hyperlink r:id="rId10" w:history="1">
              <w:r w:rsidR="00C415FA" w:rsidRPr="003C674C">
                <w:rPr>
                  <w:rFonts w:ascii="Times New Roman" w:eastAsia="Calibri" w:hAnsi="Times New Roman" w:cs="Times New Roman"/>
                  <w:color w:val="000000"/>
                  <w:kern w:val="1"/>
                  <w:shd w:val="clear" w:color="auto" w:fill="FFFFFF"/>
                  <w:lang w:eastAsia="zh-CN" w:bidi="hi-IN"/>
                </w:rPr>
                <w:t>Courtney S. Coleman</w:t>
              </w:r>
            </w:hyperlink>
          </w:p>
        </w:tc>
        <w:tc>
          <w:tcPr>
            <w:tcW w:w="3047" w:type="dxa"/>
            <w:shd w:val="clear" w:color="auto" w:fill="auto"/>
            <w:vAlign w:val="center"/>
          </w:tcPr>
          <w:p w:rsidR="00C415FA" w:rsidRPr="003C674C" w:rsidRDefault="00C415FA" w:rsidP="00C415FA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zh-CN" w:bidi="hi-IN"/>
              </w:rPr>
            </w:pPr>
            <w:r w:rsidRPr="003C674C">
              <w:rPr>
                <w:rFonts w:ascii="Times New Roman" w:eastAsia="Garamond" w:hAnsi="Times New Roman" w:cs="Times New Roman"/>
                <w:color w:val="000000"/>
                <w:kern w:val="1"/>
                <w:lang w:eastAsia="zh-CN" w:bidi="hi-IN"/>
              </w:rPr>
              <w:t>Differential Equations, Modeling Perspectives</w:t>
            </w:r>
          </w:p>
        </w:tc>
      </w:tr>
    </w:tbl>
    <w:p w:rsidR="003C674C" w:rsidRDefault="003C674C" w:rsidP="00887FF1">
      <w:pPr>
        <w:rPr>
          <w:rFonts w:asciiTheme="majorBidi" w:hAnsiTheme="majorBidi" w:cstheme="majorBidi"/>
          <w:rtl/>
        </w:rPr>
      </w:pPr>
    </w:p>
    <w:p w:rsidR="003C674C" w:rsidRPr="00912992" w:rsidRDefault="003C674C" w:rsidP="00887FF1">
      <w:pPr>
        <w:rPr>
          <w:rFonts w:asciiTheme="majorBidi" w:hAnsiTheme="majorBidi" w:cstheme="majorBidi"/>
        </w:rPr>
      </w:pPr>
    </w:p>
    <w:sectPr w:rsidR="003C674C" w:rsidRPr="00912992" w:rsidSect="00DB560A">
      <w:pgSz w:w="11907" w:h="16840" w:code="9"/>
      <w:pgMar w:top="907" w:right="1134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D8D" w:rsidRDefault="00400D8D" w:rsidP="007D5AD2">
      <w:r>
        <w:separator/>
      </w:r>
    </w:p>
  </w:endnote>
  <w:endnote w:type="continuationSeparator" w:id="0">
    <w:p w:rsidR="00400D8D" w:rsidRDefault="00400D8D" w:rsidP="007D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D8D" w:rsidRDefault="00400D8D" w:rsidP="007D5AD2">
      <w:r>
        <w:separator/>
      </w:r>
    </w:p>
  </w:footnote>
  <w:footnote w:type="continuationSeparator" w:id="0">
    <w:p w:rsidR="00400D8D" w:rsidRDefault="00400D8D" w:rsidP="007D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firstLine="1080"/>
      </w:pPr>
      <w:rPr>
        <w:rFonts w:ascii="Arial" w:hAnsi="Arial" w:cs="Arial"/>
        <w:b/>
        <w:position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firstLine="2520"/>
      </w:pPr>
      <w:rPr>
        <w:rFonts w:ascii="Arial" w:hAnsi="Arial" w:cs="Arial"/>
        <w:b w:val="0"/>
        <w:position w:val="0"/>
        <w:sz w:val="24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firstLine="3960"/>
      </w:pPr>
      <w:rPr>
        <w:rFonts w:ascii="Arial" w:hAnsi="Arial" w:cs="Arial"/>
        <w:b w:val="0"/>
        <w:position w:val="0"/>
        <w:sz w:val="24"/>
        <w:vertAlign w:val="baseline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firstLine="5400"/>
      </w:pPr>
      <w:rPr>
        <w:rFonts w:ascii="Arial" w:hAnsi="Arial" w:cs="Arial"/>
        <w:b w:val="0"/>
        <w:position w:val="0"/>
        <w:sz w:val="24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firstLine="6840"/>
      </w:pPr>
      <w:rPr>
        <w:rFonts w:ascii="Arial" w:hAnsi="Arial" w:cs="Arial"/>
        <w:b w:val="0"/>
        <w:position w:val="0"/>
        <w:sz w:val="24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firstLine="8280"/>
      </w:pPr>
      <w:rPr>
        <w:rFonts w:ascii="Arial" w:hAnsi="Arial" w:cs="Arial"/>
        <w:b w:val="0"/>
        <w:position w:val="0"/>
        <w:sz w:val="24"/>
        <w:vertAlign w:val="baseline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firstLine="9720"/>
      </w:pPr>
      <w:rPr>
        <w:rFonts w:ascii="Arial" w:hAnsi="Arial" w:cs="Arial"/>
        <w:b w:val="0"/>
        <w:position w:val="0"/>
        <w:sz w:val="24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firstLine="11160"/>
      </w:pPr>
      <w:rPr>
        <w:rFonts w:ascii="Arial" w:hAnsi="Arial" w:cs="Arial"/>
        <w:b w:val="0"/>
        <w:position w:val="0"/>
        <w:sz w:val="24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firstLine="12600"/>
      </w:pPr>
      <w:rPr>
        <w:rFonts w:ascii="Arial" w:hAnsi="Arial" w:cs="Arial"/>
        <w:b w:val="0"/>
        <w:position w:val="0"/>
        <w:sz w:val="24"/>
        <w:vertAlign w:val="baseline"/>
      </w:rPr>
    </w:lvl>
  </w:abstractNum>
  <w:abstractNum w:abstractNumId="1" w15:restartNumberingAfterBreak="0">
    <w:nsid w:val="05AB1209"/>
    <w:multiLevelType w:val="multilevel"/>
    <w:tmpl w:val="2D8E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ED5315"/>
    <w:multiLevelType w:val="hybridMultilevel"/>
    <w:tmpl w:val="347289CE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60567"/>
    <w:multiLevelType w:val="hybridMultilevel"/>
    <w:tmpl w:val="012C61AC"/>
    <w:lvl w:ilvl="0" w:tplc="8E7222BC">
      <w:start w:val="1"/>
      <w:numFmt w:val="bullet"/>
      <w:lvlText w:val=""/>
      <w:lvlJc w:val="left"/>
      <w:pPr>
        <w:tabs>
          <w:tab w:val="num" w:pos="1528"/>
        </w:tabs>
        <w:ind w:left="1528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965"/>
        </w:tabs>
        <w:ind w:left="19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5"/>
        </w:tabs>
        <w:ind w:left="26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5"/>
        </w:tabs>
        <w:ind w:left="34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5"/>
        </w:tabs>
        <w:ind w:left="41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5"/>
        </w:tabs>
        <w:ind w:left="48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5"/>
        </w:tabs>
        <w:ind w:left="55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5"/>
        </w:tabs>
        <w:ind w:left="62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5"/>
        </w:tabs>
        <w:ind w:left="7005" w:hanging="360"/>
      </w:pPr>
      <w:rPr>
        <w:rFonts w:ascii="Wingdings" w:hAnsi="Wingdings" w:hint="default"/>
      </w:rPr>
    </w:lvl>
  </w:abstractNum>
  <w:abstractNum w:abstractNumId="4" w15:restartNumberingAfterBreak="0">
    <w:nsid w:val="0AF20E1C"/>
    <w:multiLevelType w:val="multilevel"/>
    <w:tmpl w:val="11147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5C7B5F"/>
    <w:multiLevelType w:val="hybridMultilevel"/>
    <w:tmpl w:val="6C3EE968"/>
    <w:lvl w:ilvl="0" w:tplc="8DC2CD72">
      <w:start w:val="1"/>
      <w:numFmt w:val="bullet"/>
      <w:pStyle w:val="Ali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E729B"/>
    <w:multiLevelType w:val="hybridMultilevel"/>
    <w:tmpl w:val="DCD69E6C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920EBC"/>
    <w:multiLevelType w:val="singleLevel"/>
    <w:tmpl w:val="85D60AAC"/>
    <w:lvl w:ilvl="0">
      <w:start w:val="1"/>
      <w:numFmt w:val="none"/>
      <w:pStyle w:val="Achievement"/>
      <w:lvlText w:val=""/>
      <w:lvlJc w:val="left"/>
      <w:pPr>
        <w:tabs>
          <w:tab w:val="num" w:pos="360"/>
        </w:tabs>
        <w:ind w:right="57" w:hanging="57"/>
      </w:pPr>
      <w:rPr>
        <w:rFonts w:ascii="Wingdings" w:hAnsi="Wingdings" w:hint="default"/>
      </w:rPr>
    </w:lvl>
  </w:abstractNum>
  <w:abstractNum w:abstractNumId="8" w15:restartNumberingAfterBreak="0">
    <w:nsid w:val="15340F18"/>
    <w:multiLevelType w:val="hybridMultilevel"/>
    <w:tmpl w:val="7BA256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E241F"/>
    <w:multiLevelType w:val="hybridMultilevel"/>
    <w:tmpl w:val="C4E40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A4A90"/>
    <w:multiLevelType w:val="hybridMultilevel"/>
    <w:tmpl w:val="4F980AA8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D841D4"/>
    <w:multiLevelType w:val="multilevel"/>
    <w:tmpl w:val="617A08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AFC631E"/>
    <w:multiLevelType w:val="hybridMultilevel"/>
    <w:tmpl w:val="8488D466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3B02AE"/>
    <w:multiLevelType w:val="hybridMultilevel"/>
    <w:tmpl w:val="EDB87224"/>
    <w:lvl w:ilvl="0" w:tplc="04090005">
      <w:start w:val="1"/>
      <w:numFmt w:val="irohaFullWidth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9A0B02"/>
    <w:multiLevelType w:val="multilevel"/>
    <w:tmpl w:val="172C5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0A3125"/>
    <w:multiLevelType w:val="hybridMultilevel"/>
    <w:tmpl w:val="5E94C4E8"/>
    <w:lvl w:ilvl="0" w:tplc="2FA66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E75938"/>
    <w:multiLevelType w:val="hybridMultilevel"/>
    <w:tmpl w:val="358EE8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D7A03"/>
    <w:multiLevelType w:val="hybridMultilevel"/>
    <w:tmpl w:val="F05E073A"/>
    <w:lvl w:ilvl="0" w:tplc="F4784E9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B835C3"/>
    <w:multiLevelType w:val="hybridMultilevel"/>
    <w:tmpl w:val="64D4B6C2"/>
    <w:lvl w:ilvl="0" w:tplc="A314E838">
      <w:start w:val="1"/>
      <w:numFmt w:val="low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9" w15:restartNumberingAfterBreak="0">
    <w:nsid w:val="2C352811"/>
    <w:multiLevelType w:val="hybridMultilevel"/>
    <w:tmpl w:val="A4E0AEC4"/>
    <w:lvl w:ilvl="0" w:tplc="DCE0124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53453"/>
    <w:multiLevelType w:val="multilevel"/>
    <w:tmpl w:val="1B1694E4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B17BD"/>
    <w:multiLevelType w:val="hybridMultilevel"/>
    <w:tmpl w:val="A942CC42"/>
    <w:lvl w:ilvl="0" w:tplc="A5846B94">
      <w:start w:val="1"/>
      <w:numFmt w:val="lowerLetter"/>
      <w:lvlText w:val="%1-"/>
      <w:lvlJc w:val="left"/>
      <w:pPr>
        <w:ind w:left="720" w:hanging="360"/>
      </w:pPr>
      <w:rPr>
        <w:rFonts w:ascii="Times New Roman" w:eastAsia="Times New Roman" w:hAnsi="Times New Roman" w:cs="Traditional Arabi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131BB"/>
    <w:multiLevelType w:val="hybridMultilevel"/>
    <w:tmpl w:val="0F58FDA4"/>
    <w:lvl w:ilvl="0" w:tplc="D552657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408B8"/>
    <w:multiLevelType w:val="multilevel"/>
    <w:tmpl w:val="779E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C9E35E1"/>
    <w:multiLevelType w:val="hybridMultilevel"/>
    <w:tmpl w:val="0730242A"/>
    <w:lvl w:ilvl="0" w:tplc="0674F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01236"/>
    <w:multiLevelType w:val="hybridMultilevel"/>
    <w:tmpl w:val="BA981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510B7"/>
    <w:multiLevelType w:val="hybridMultilevel"/>
    <w:tmpl w:val="218EAA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962DE9"/>
    <w:multiLevelType w:val="hybridMultilevel"/>
    <w:tmpl w:val="FDD80CA2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9A4453"/>
    <w:multiLevelType w:val="hybridMultilevel"/>
    <w:tmpl w:val="01A43212"/>
    <w:lvl w:ilvl="0" w:tplc="8D44F0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966B73"/>
    <w:multiLevelType w:val="multilevel"/>
    <w:tmpl w:val="0CCC730C"/>
    <w:lvl w:ilvl="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A2279A"/>
    <w:multiLevelType w:val="hybridMultilevel"/>
    <w:tmpl w:val="DA207B82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66E21EA"/>
    <w:multiLevelType w:val="hybridMultilevel"/>
    <w:tmpl w:val="C8DC4D10"/>
    <w:lvl w:ilvl="0" w:tplc="E36C5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AB2F6B"/>
    <w:multiLevelType w:val="singleLevel"/>
    <w:tmpl w:val="AABA0D74"/>
    <w:lvl w:ilvl="0">
      <w:start w:val="1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3" w15:restartNumberingAfterBreak="0">
    <w:nsid w:val="4BED1420"/>
    <w:multiLevelType w:val="hybridMultilevel"/>
    <w:tmpl w:val="74ECEF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836182"/>
    <w:multiLevelType w:val="hybridMultilevel"/>
    <w:tmpl w:val="0646EE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6138B6"/>
    <w:multiLevelType w:val="hybridMultilevel"/>
    <w:tmpl w:val="B12427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4626B9F"/>
    <w:multiLevelType w:val="hybridMultilevel"/>
    <w:tmpl w:val="1B04B7D0"/>
    <w:lvl w:ilvl="0" w:tplc="8E7222B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7E73DC"/>
    <w:multiLevelType w:val="hybridMultilevel"/>
    <w:tmpl w:val="3CD658F2"/>
    <w:lvl w:ilvl="0" w:tplc="8E7222B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97"/>
        </w:tabs>
        <w:ind w:left="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7"/>
        </w:tabs>
        <w:ind w:left="1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7"/>
        </w:tabs>
        <w:ind w:left="2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7"/>
        </w:tabs>
        <w:ind w:left="2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7"/>
        </w:tabs>
        <w:ind w:left="3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7"/>
        </w:tabs>
        <w:ind w:left="4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7"/>
        </w:tabs>
        <w:ind w:left="5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7"/>
        </w:tabs>
        <w:ind w:left="5837" w:hanging="360"/>
      </w:pPr>
      <w:rPr>
        <w:rFonts w:ascii="Wingdings" w:hAnsi="Wingdings" w:hint="default"/>
      </w:rPr>
    </w:lvl>
  </w:abstractNum>
  <w:abstractNum w:abstractNumId="38" w15:restartNumberingAfterBreak="0">
    <w:nsid w:val="5AB77100"/>
    <w:multiLevelType w:val="multilevel"/>
    <w:tmpl w:val="BD804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8513D9A"/>
    <w:multiLevelType w:val="multilevel"/>
    <w:tmpl w:val="1BAE5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A5A4EB7"/>
    <w:multiLevelType w:val="hybridMultilevel"/>
    <w:tmpl w:val="0CCC730C"/>
    <w:lvl w:ilvl="0" w:tplc="A02A07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800D7"/>
    <w:multiLevelType w:val="singleLevel"/>
    <w:tmpl w:val="BD6ECC8E"/>
    <w:lvl w:ilvl="0">
      <w:start w:val="1"/>
      <w:numFmt w:val="decimal"/>
      <w:lvlText w:val="%1. "/>
      <w:legacy w:legacy="1" w:legacySpace="0" w:legacyIndent="283"/>
      <w:lvlJc w:val="center"/>
      <w:pPr>
        <w:ind w:left="283" w:hanging="283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42" w15:restartNumberingAfterBreak="0">
    <w:nsid w:val="71F63FF0"/>
    <w:multiLevelType w:val="hybridMultilevel"/>
    <w:tmpl w:val="1B1694E4"/>
    <w:lvl w:ilvl="0" w:tplc="040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C4901"/>
    <w:multiLevelType w:val="multilevel"/>
    <w:tmpl w:val="CE425C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84" w:hanging="1800"/>
      </w:pPr>
      <w:rPr>
        <w:rFonts w:hint="default"/>
      </w:rPr>
    </w:lvl>
  </w:abstractNum>
  <w:abstractNum w:abstractNumId="44" w15:restartNumberingAfterBreak="0">
    <w:nsid w:val="79C1291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hanging="72"/>
      </w:pPr>
      <w:rPr>
        <w:rFonts w:ascii="Symbol" w:hAnsi="Symbol" w:hint="default"/>
      </w:rPr>
    </w:lvl>
  </w:abstractNum>
  <w:abstractNum w:abstractNumId="45" w15:restartNumberingAfterBreak="0">
    <w:nsid w:val="7CE22BD5"/>
    <w:multiLevelType w:val="multilevel"/>
    <w:tmpl w:val="ACACE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7F57C8"/>
    <w:multiLevelType w:val="multilevel"/>
    <w:tmpl w:val="4F980AA8"/>
    <w:lvl w:ilvl="0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5"/>
  </w:num>
  <w:num w:numId="3">
    <w:abstractNumId w:val="32"/>
  </w:num>
  <w:num w:numId="4">
    <w:abstractNumId w:val="30"/>
  </w:num>
  <w:num w:numId="5">
    <w:abstractNumId w:val="40"/>
  </w:num>
  <w:num w:numId="6">
    <w:abstractNumId w:val="29"/>
  </w:num>
  <w:num w:numId="7">
    <w:abstractNumId w:val="42"/>
  </w:num>
  <w:num w:numId="8">
    <w:abstractNumId w:val="20"/>
  </w:num>
  <w:num w:numId="9">
    <w:abstractNumId w:val="10"/>
  </w:num>
  <w:num w:numId="10">
    <w:abstractNumId w:val="46"/>
  </w:num>
  <w:num w:numId="11">
    <w:abstractNumId w:val="37"/>
  </w:num>
  <w:num w:numId="12">
    <w:abstractNumId w:val="41"/>
  </w:num>
  <w:num w:numId="13">
    <w:abstractNumId w:val="23"/>
  </w:num>
  <w:num w:numId="14">
    <w:abstractNumId w:val="6"/>
  </w:num>
  <w:num w:numId="15">
    <w:abstractNumId w:val="36"/>
  </w:num>
  <w:num w:numId="16">
    <w:abstractNumId w:val="38"/>
  </w:num>
  <w:num w:numId="17">
    <w:abstractNumId w:val="1"/>
  </w:num>
  <w:num w:numId="18">
    <w:abstractNumId w:val="39"/>
  </w:num>
  <w:num w:numId="19">
    <w:abstractNumId w:val="27"/>
  </w:num>
  <w:num w:numId="20">
    <w:abstractNumId w:val="12"/>
  </w:num>
  <w:num w:numId="21">
    <w:abstractNumId w:val="19"/>
  </w:num>
  <w:num w:numId="22">
    <w:abstractNumId w:val="2"/>
  </w:num>
  <w:num w:numId="23">
    <w:abstractNumId w:val="7"/>
  </w:num>
  <w:num w:numId="24">
    <w:abstractNumId w:val="44"/>
  </w:num>
  <w:num w:numId="25">
    <w:abstractNumId w:val="14"/>
    <w:lvlOverride w:ilvl="0">
      <w:lvl w:ilvl="0">
        <w:numFmt w:val="lowerLetter"/>
        <w:lvlText w:val="%1."/>
        <w:lvlJc w:val="left"/>
      </w:lvl>
    </w:lvlOverride>
  </w:num>
  <w:num w:numId="26">
    <w:abstractNumId w:val="33"/>
  </w:num>
  <w:num w:numId="27">
    <w:abstractNumId w:val="8"/>
  </w:num>
  <w:num w:numId="28">
    <w:abstractNumId w:val="13"/>
  </w:num>
  <w:num w:numId="2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</w:num>
  <w:num w:numId="31">
    <w:abstractNumId w:val="26"/>
  </w:num>
  <w:num w:numId="32">
    <w:abstractNumId w:val="25"/>
  </w:num>
  <w:num w:numId="33">
    <w:abstractNumId w:val="31"/>
  </w:num>
  <w:num w:numId="34">
    <w:abstractNumId w:val="28"/>
  </w:num>
  <w:num w:numId="35">
    <w:abstractNumId w:val="18"/>
  </w:num>
  <w:num w:numId="36">
    <w:abstractNumId w:val="17"/>
  </w:num>
  <w:num w:numId="37">
    <w:abstractNumId w:val="22"/>
  </w:num>
  <w:num w:numId="38">
    <w:abstractNumId w:val="21"/>
  </w:num>
  <w:num w:numId="39">
    <w:abstractNumId w:val="15"/>
  </w:num>
  <w:num w:numId="40">
    <w:abstractNumId w:val="34"/>
  </w:num>
  <w:num w:numId="41">
    <w:abstractNumId w:val="24"/>
  </w:num>
  <w:num w:numId="42">
    <w:abstractNumId w:val="4"/>
  </w:num>
  <w:num w:numId="43">
    <w:abstractNumId w:val="16"/>
  </w:num>
  <w:num w:numId="44">
    <w:abstractNumId w:val="11"/>
  </w:num>
  <w:num w:numId="45">
    <w:abstractNumId w:val="43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FE"/>
    <w:rsid w:val="000122E4"/>
    <w:rsid w:val="00030751"/>
    <w:rsid w:val="000307F5"/>
    <w:rsid w:val="000336DD"/>
    <w:rsid w:val="00034E23"/>
    <w:rsid w:val="000441FE"/>
    <w:rsid w:val="00045743"/>
    <w:rsid w:val="0004578C"/>
    <w:rsid w:val="00070A74"/>
    <w:rsid w:val="0007301D"/>
    <w:rsid w:val="00073927"/>
    <w:rsid w:val="000751FF"/>
    <w:rsid w:val="00081E6F"/>
    <w:rsid w:val="00083D91"/>
    <w:rsid w:val="0009646D"/>
    <w:rsid w:val="00096FAD"/>
    <w:rsid w:val="000A258B"/>
    <w:rsid w:val="000A3E16"/>
    <w:rsid w:val="000B325C"/>
    <w:rsid w:val="000C0AF0"/>
    <w:rsid w:val="000C7A1B"/>
    <w:rsid w:val="000D1424"/>
    <w:rsid w:val="000D2A44"/>
    <w:rsid w:val="000D347B"/>
    <w:rsid w:val="000F6C11"/>
    <w:rsid w:val="00112AFC"/>
    <w:rsid w:val="00125A95"/>
    <w:rsid w:val="0013192E"/>
    <w:rsid w:val="001376B9"/>
    <w:rsid w:val="00137E64"/>
    <w:rsid w:val="001441A3"/>
    <w:rsid w:val="00147D57"/>
    <w:rsid w:val="00150480"/>
    <w:rsid w:val="001572FB"/>
    <w:rsid w:val="00162218"/>
    <w:rsid w:val="00166097"/>
    <w:rsid w:val="00186D76"/>
    <w:rsid w:val="001A6335"/>
    <w:rsid w:val="001B056F"/>
    <w:rsid w:val="001D0A7C"/>
    <w:rsid w:val="001D0FA2"/>
    <w:rsid w:val="0020117C"/>
    <w:rsid w:val="00202684"/>
    <w:rsid w:val="00206CFD"/>
    <w:rsid w:val="00207DC8"/>
    <w:rsid w:val="00210147"/>
    <w:rsid w:val="0021577D"/>
    <w:rsid w:val="00222899"/>
    <w:rsid w:val="00225F0E"/>
    <w:rsid w:val="00251ED5"/>
    <w:rsid w:val="002556B4"/>
    <w:rsid w:val="00260E93"/>
    <w:rsid w:val="002664C5"/>
    <w:rsid w:val="0026782A"/>
    <w:rsid w:val="00267D85"/>
    <w:rsid w:val="0027137F"/>
    <w:rsid w:val="00273B39"/>
    <w:rsid w:val="0027419C"/>
    <w:rsid w:val="00285DC9"/>
    <w:rsid w:val="002872F6"/>
    <w:rsid w:val="0029042D"/>
    <w:rsid w:val="002A2CE6"/>
    <w:rsid w:val="002A7E28"/>
    <w:rsid w:val="002B2A6E"/>
    <w:rsid w:val="002B3E15"/>
    <w:rsid w:val="002C0F5F"/>
    <w:rsid w:val="002C3877"/>
    <w:rsid w:val="002D0B8C"/>
    <w:rsid w:val="002D1408"/>
    <w:rsid w:val="002D58B0"/>
    <w:rsid w:val="002E77D8"/>
    <w:rsid w:val="002F7C06"/>
    <w:rsid w:val="0030322A"/>
    <w:rsid w:val="003055B0"/>
    <w:rsid w:val="0031743F"/>
    <w:rsid w:val="00320426"/>
    <w:rsid w:val="003206FA"/>
    <w:rsid w:val="003237CA"/>
    <w:rsid w:val="00324B26"/>
    <w:rsid w:val="00324F4C"/>
    <w:rsid w:val="00326D24"/>
    <w:rsid w:val="00331207"/>
    <w:rsid w:val="00331F3E"/>
    <w:rsid w:val="00333196"/>
    <w:rsid w:val="00333649"/>
    <w:rsid w:val="00335165"/>
    <w:rsid w:val="0033571F"/>
    <w:rsid w:val="003357DA"/>
    <w:rsid w:val="00344BC5"/>
    <w:rsid w:val="00355253"/>
    <w:rsid w:val="00364347"/>
    <w:rsid w:val="003760F4"/>
    <w:rsid w:val="003761AD"/>
    <w:rsid w:val="00377F0B"/>
    <w:rsid w:val="00394DD8"/>
    <w:rsid w:val="003973DD"/>
    <w:rsid w:val="003B2625"/>
    <w:rsid w:val="003B2C74"/>
    <w:rsid w:val="003B6C57"/>
    <w:rsid w:val="003C674C"/>
    <w:rsid w:val="003C70D2"/>
    <w:rsid w:val="003C7477"/>
    <w:rsid w:val="003F4B23"/>
    <w:rsid w:val="00400D8D"/>
    <w:rsid w:val="0041370C"/>
    <w:rsid w:val="0042120A"/>
    <w:rsid w:val="00427BE3"/>
    <w:rsid w:val="004406FD"/>
    <w:rsid w:val="00443301"/>
    <w:rsid w:val="00461F47"/>
    <w:rsid w:val="00473A36"/>
    <w:rsid w:val="00475659"/>
    <w:rsid w:val="00487B96"/>
    <w:rsid w:val="004A0A18"/>
    <w:rsid w:val="004B145C"/>
    <w:rsid w:val="004C67C1"/>
    <w:rsid w:val="004D25FE"/>
    <w:rsid w:val="004E1113"/>
    <w:rsid w:val="004F37E0"/>
    <w:rsid w:val="00510AF9"/>
    <w:rsid w:val="0051195B"/>
    <w:rsid w:val="00515F9A"/>
    <w:rsid w:val="00523011"/>
    <w:rsid w:val="0052628A"/>
    <w:rsid w:val="005475FD"/>
    <w:rsid w:val="00550A65"/>
    <w:rsid w:val="00553305"/>
    <w:rsid w:val="00553379"/>
    <w:rsid w:val="00590DE2"/>
    <w:rsid w:val="00595518"/>
    <w:rsid w:val="005A4B7A"/>
    <w:rsid w:val="005A6E0D"/>
    <w:rsid w:val="005D7281"/>
    <w:rsid w:val="005D7302"/>
    <w:rsid w:val="005E4D9B"/>
    <w:rsid w:val="005F0CED"/>
    <w:rsid w:val="0060444A"/>
    <w:rsid w:val="006126D4"/>
    <w:rsid w:val="0062207E"/>
    <w:rsid w:val="0062271B"/>
    <w:rsid w:val="006234C6"/>
    <w:rsid w:val="00634B69"/>
    <w:rsid w:val="006614B6"/>
    <w:rsid w:val="006649A3"/>
    <w:rsid w:val="006915FE"/>
    <w:rsid w:val="00696FE0"/>
    <w:rsid w:val="006A2AD4"/>
    <w:rsid w:val="006D0040"/>
    <w:rsid w:val="006D06E5"/>
    <w:rsid w:val="006D4351"/>
    <w:rsid w:val="006E6203"/>
    <w:rsid w:val="006F2DF2"/>
    <w:rsid w:val="00703FBF"/>
    <w:rsid w:val="0070554B"/>
    <w:rsid w:val="007132DC"/>
    <w:rsid w:val="007209F0"/>
    <w:rsid w:val="00722BAB"/>
    <w:rsid w:val="007277E1"/>
    <w:rsid w:val="00732606"/>
    <w:rsid w:val="00732C66"/>
    <w:rsid w:val="00735F80"/>
    <w:rsid w:val="007407FD"/>
    <w:rsid w:val="00745AFF"/>
    <w:rsid w:val="007566C0"/>
    <w:rsid w:val="007662E0"/>
    <w:rsid w:val="00775D4D"/>
    <w:rsid w:val="00776D25"/>
    <w:rsid w:val="00782960"/>
    <w:rsid w:val="007A00C2"/>
    <w:rsid w:val="007A4563"/>
    <w:rsid w:val="007C1D72"/>
    <w:rsid w:val="007C2065"/>
    <w:rsid w:val="007C7FF3"/>
    <w:rsid w:val="007D22E4"/>
    <w:rsid w:val="007D5AD2"/>
    <w:rsid w:val="007D73E4"/>
    <w:rsid w:val="007D75AA"/>
    <w:rsid w:val="007D7B9B"/>
    <w:rsid w:val="007E067F"/>
    <w:rsid w:val="007F2D44"/>
    <w:rsid w:val="007F413D"/>
    <w:rsid w:val="008030C6"/>
    <w:rsid w:val="00803296"/>
    <w:rsid w:val="008057A3"/>
    <w:rsid w:val="00812BAF"/>
    <w:rsid w:val="008211E6"/>
    <w:rsid w:val="0082592C"/>
    <w:rsid w:val="0083544D"/>
    <w:rsid w:val="008667E9"/>
    <w:rsid w:val="00874BEC"/>
    <w:rsid w:val="00887FF1"/>
    <w:rsid w:val="00894B53"/>
    <w:rsid w:val="008A7EC3"/>
    <w:rsid w:val="008C260B"/>
    <w:rsid w:val="008D4015"/>
    <w:rsid w:val="008D427C"/>
    <w:rsid w:val="008E7763"/>
    <w:rsid w:val="008F4634"/>
    <w:rsid w:val="008F7123"/>
    <w:rsid w:val="00912992"/>
    <w:rsid w:val="00921B6B"/>
    <w:rsid w:val="00926109"/>
    <w:rsid w:val="009468B6"/>
    <w:rsid w:val="00954747"/>
    <w:rsid w:val="00963596"/>
    <w:rsid w:val="00965F96"/>
    <w:rsid w:val="00974F36"/>
    <w:rsid w:val="00982E21"/>
    <w:rsid w:val="00984E36"/>
    <w:rsid w:val="00990461"/>
    <w:rsid w:val="00990E99"/>
    <w:rsid w:val="00991AF7"/>
    <w:rsid w:val="0099261E"/>
    <w:rsid w:val="009A14C3"/>
    <w:rsid w:val="009A1A24"/>
    <w:rsid w:val="009B1A3D"/>
    <w:rsid w:val="009C1459"/>
    <w:rsid w:val="009C7B4F"/>
    <w:rsid w:val="009D1AF0"/>
    <w:rsid w:val="009D7F04"/>
    <w:rsid w:val="00A11ED1"/>
    <w:rsid w:val="00A15C6D"/>
    <w:rsid w:val="00A205F2"/>
    <w:rsid w:val="00A44475"/>
    <w:rsid w:val="00A45688"/>
    <w:rsid w:val="00A64F3C"/>
    <w:rsid w:val="00A740DF"/>
    <w:rsid w:val="00A94E22"/>
    <w:rsid w:val="00AA54BF"/>
    <w:rsid w:val="00AB5983"/>
    <w:rsid w:val="00AC1588"/>
    <w:rsid w:val="00AC2896"/>
    <w:rsid w:val="00AC3B10"/>
    <w:rsid w:val="00AC6269"/>
    <w:rsid w:val="00AD336E"/>
    <w:rsid w:val="00B124A3"/>
    <w:rsid w:val="00B12D82"/>
    <w:rsid w:val="00B1344A"/>
    <w:rsid w:val="00B17CB2"/>
    <w:rsid w:val="00B22EF7"/>
    <w:rsid w:val="00B244EC"/>
    <w:rsid w:val="00B37890"/>
    <w:rsid w:val="00B42720"/>
    <w:rsid w:val="00B44864"/>
    <w:rsid w:val="00B64D25"/>
    <w:rsid w:val="00B71CA1"/>
    <w:rsid w:val="00BA5E04"/>
    <w:rsid w:val="00BB1E54"/>
    <w:rsid w:val="00BD05C9"/>
    <w:rsid w:val="00BE2312"/>
    <w:rsid w:val="00BE322B"/>
    <w:rsid w:val="00BE7A32"/>
    <w:rsid w:val="00BF60A6"/>
    <w:rsid w:val="00C010B9"/>
    <w:rsid w:val="00C378F0"/>
    <w:rsid w:val="00C415FA"/>
    <w:rsid w:val="00C44843"/>
    <w:rsid w:val="00C4542D"/>
    <w:rsid w:val="00C45B43"/>
    <w:rsid w:val="00C46E4A"/>
    <w:rsid w:val="00C505A3"/>
    <w:rsid w:val="00C61E95"/>
    <w:rsid w:val="00C62B58"/>
    <w:rsid w:val="00C6739D"/>
    <w:rsid w:val="00C70229"/>
    <w:rsid w:val="00C7448E"/>
    <w:rsid w:val="00C83683"/>
    <w:rsid w:val="00C867BD"/>
    <w:rsid w:val="00C91087"/>
    <w:rsid w:val="00C91701"/>
    <w:rsid w:val="00CA3093"/>
    <w:rsid w:val="00CA3667"/>
    <w:rsid w:val="00CC3774"/>
    <w:rsid w:val="00CD2C16"/>
    <w:rsid w:val="00CE2545"/>
    <w:rsid w:val="00D127B3"/>
    <w:rsid w:val="00D30C6E"/>
    <w:rsid w:val="00D31FE5"/>
    <w:rsid w:val="00D349FA"/>
    <w:rsid w:val="00D43FC0"/>
    <w:rsid w:val="00D44D8C"/>
    <w:rsid w:val="00D5630F"/>
    <w:rsid w:val="00D57129"/>
    <w:rsid w:val="00D57D05"/>
    <w:rsid w:val="00D77641"/>
    <w:rsid w:val="00D93682"/>
    <w:rsid w:val="00D95488"/>
    <w:rsid w:val="00DB560A"/>
    <w:rsid w:val="00DD4D25"/>
    <w:rsid w:val="00DF09AE"/>
    <w:rsid w:val="00DF4DED"/>
    <w:rsid w:val="00E03594"/>
    <w:rsid w:val="00E05EE5"/>
    <w:rsid w:val="00E06C7E"/>
    <w:rsid w:val="00E06D17"/>
    <w:rsid w:val="00E30E7B"/>
    <w:rsid w:val="00E330BC"/>
    <w:rsid w:val="00E37C2E"/>
    <w:rsid w:val="00E6765F"/>
    <w:rsid w:val="00E8023F"/>
    <w:rsid w:val="00E942CF"/>
    <w:rsid w:val="00E9575F"/>
    <w:rsid w:val="00E96669"/>
    <w:rsid w:val="00E96E65"/>
    <w:rsid w:val="00EC0DA5"/>
    <w:rsid w:val="00EE0326"/>
    <w:rsid w:val="00EE2211"/>
    <w:rsid w:val="00EE6263"/>
    <w:rsid w:val="00EF210B"/>
    <w:rsid w:val="00EF4880"/>
    <w:rsid w:val="00F07962"/>
    <w:rsid w:val="00F16BA0"/>
    <w:rsid w:val="00F21CCA"/>
    <w:rsid w:val="00F3213E"/>
    <w:rsid w:val="00F42487"/>
    <w:rsid w:val="00F509A3"/>
    <w:rsid w:val="00F575BD"/>
    <w:rsid w:val="00F63742"/>
    <w:rsid w:val="00F728B7"/>
    <w:rsid w:val="00F95148"/>
    <w:rsid w:val="00F9546C"/>
    <w:rsid w:val="00FB115C"/>
    <w:rsid w:val="00FD44FB"/>
    <w:rsid w:val="00FD45BA"/>
    <w:rsid w:val="00FD586C"/>
    <w:rsid w:val="00FE2328"/>
    <w:rsid w:val="00FF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B3BE5FD7-59AC-4721-B5F0-CC6BE0C7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322B"/>
    <w:rPr>
      <w:rFonts w:ascii="Arial" w:hAnsi="Arial" w:cs="Arial"/>
      <w:sz w:val="24"/>
      <w:szCs w:val="24"/>
      <w:lang w:eastAsia="ko-KR"/>
    </w:rPr>
  </w:style>
  <w:style w:type="paragraph" w:styleId="Heading2">
    <w:name w:val="heading 2"/>
    <w:basedOn w:val="Normal"/>
    <w:next w:val="Normal"/>
    <w:qFormat/>
    <w:rsid w:val="002A2CE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qFormat/>
    <w:rsid w:val="00C7448E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i">
    <w:name w:val="Ali"/>
    <w:basedOn w:val="Normal"/>
    <w:rsid w:val="00510AF9"/>
    <w:pPr>
      <w:numPr>
        <w:numId w:val="1"/>
      </w:numPr>
      <w:jc w:val="center"/>
    </w:pPr>
    <w:rPr>
      <w:rFonts w:ascii="Courier New" w:hAnsi="Courier New"/>
      <w:b/>
      <w:bCs/>
      <w:sz w:val="22"/>
      <w:lang w:val="en-GB"/>
    </w:rPr>
  </w:style>
  <w:style w:type="paragraph" w:styleId="PlainText">
    <w:name w:val="Plain Text"/>
    <w:basedOn w:val="Normal"/>
    <w:link w:val="PlainTextChar"/>
    <w:rsid w:val="00812BAF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805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B056F"/>
    <w:rPr>
      <w:rFonts w:cs="Times New Roman"/>
      <w:color w:val="0000FF"/>
      <w:u w:val="single"/>
    </w:rPr>
  </w:style>
  <w:style w:type="character" w:styleId="FollowedHyperlink">
    <w:name w:val="FollowedHyperlink"/>
    <w:rsid w:val="00C378F0"/>
    <w:rPr>
      <w:color w:val="800080"/>
      <w:u w:val="single"/>
    </w:rPr>
  </w:style>
  <w:style w:type="paragraph" w:styleId="BodyText">
    <w:name w:val="Body Text"/>
    <w:basedOn w:val="Normal"/>
    <w:rsid w:val="00207DC8"/>
    <w:pPr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NormalWeb">
    <w:name w:val="Normal (Web)"/>
    <w:basedOn w:val="Normal"/>
    <w:rsid w:val="00EF4880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Achievement">
    <w:name w:val="Achievement"/>
    <w:basedOn w:val="Normal"/>
    <w:rsid w:val="003973DD"/>
    <w:pPr>
      <w:numPr>
        <w:numId w:val="23"/>
      </w:numPr>
      <w:bidi/>
    </w:pPr>
    <w:rPr>
      <w:rFonts w:ascii="Times New Roman" w:eastAsia="Times New Roman" w:hAnsi="Times New Roman" w:cs="Traditional Arabic"/>
      <w:noProof/>
      <w:szCs w:val="20"/>
      <w:lang w:eastAsia="en-US"/>
    </w:rPr>
  </w:style>
  <w:style w:type="paragraph" w:styleId="BalloonText">
    <w:name w:val="Balloon Text"/>
    <w:basedOn w:val="Normal"/>
    <w:semiHidden/>
    <w:rsid w:val="00A4447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408"/>
    <w:pPr>
      <w:bidi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D1408"/>
    <w:pPr>
      <w:tabs>
        <w:tab w:val="center" w:pos="4513"/>
        <w:tab w:val="right" w:pos="9026"/>
      </w:tabs>
      <w:bidi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link w:val="Header"/>
    <w:uiPriority w:val="99"/>
    <w:rsid w:val="002D1408"/>
    <w:rPr>
      <w:rFonts w:ascii="Calibri" w:eastAsia="Calibri" w:hAnsi="Calibri" w:cs="Arial"/>
      <w:sz w:val="22"/>
      <w:szCs w:val="22"/>
    </w:rPr>
  </w:style>
  <w:style w:type="paragraph" w:styleId="Footer">
    <w:name w:val="footer"/>
    <w:basedOn w:val="Normal"/>
    <w:link w:val="FooterChar"/>
    <w:rsid w:val="002D1408"/>
    <w:pPr>
      <w:tabs>
        <w:tab w:val="center" w:pos="4320"/>
        <w:tab w:val="right" w:pos="8640"/>
      </w:tabs>
    </w:pPr>
    <w:rPr>
      <w:rFonts w:ascii="Times New Roman" w:eastAsia="Times New Roman" w:hAnsi="Times New Roman" w:cs="Traditional Arabic"/>
      <w:sz w:val="20"/>
      <w:szCs w:val="20"/>
      <w:lang w:eastAsia="en-US"/>
    </w:rPr>
  </w:style>
  <w:style w:type="character" w:customStyle="1" w:styleId="FooterChar">
    <w:name w:val="Footer Char"/>
    <w:link w:val="Footer"/>
    <w:rsid w:val="002D1408"/>
    <w:rPr>
      <w:rFonts w:eastAsia="Times New Roman" w:cs="Traditional Arabic"/>
    </w:rPr>
  </w:style>
  <w:style w:type="character" w:customStyle="1" w:styleId="PlainTextChar">
    <w:name w:val="Plain Text Char"/>
    <w:basedOn w:val="DefaultParagraphFont"/>
    <w:link w:val="PlainText"/>
    <w:rsid w:val="007277E1"/>
    <w:rPr>
      <w:rFonts w:ascii="Courier New" w:hAnsi="Courier New" w:cs="Courier New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2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u.wiley.com/WileyCDA/Section/id-302479.html?query=Courtney+S.+Colema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.wiley.com/WileyCDA/Section/id-302479.html?query=Robert+L.+Borrell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0BFBD-9DA0-484A-B534-0F1064B66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2984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Jordan University of Science &amp; Technology</vt:lpstr>
      <vt:lpstr>Jordan University of Science &amp; Technology</vt:lpstr>
    </vt:vector>
  </TitlesOfParts>
  <Company>Jordan University of Science &amp; Technology</Company>
  <LinksUpToDate>false</LinksUpToDate>
  <CharactersWithSpaces>3501</CharactersWithSpaces>
  <SharedDoc>false</SharedDoc>
  <HLinks>
    <vt:vector size="6" baseType="variant">
      <vt:variant>
        <vt:i4>7405648</vt:i4>
      </vt:variant>
      <vt:variant>
        <vt:i4>0</vt:i4>
      </vt:variant>
      <vt:variant>
        <vt:i4>0</vt:i4>
      </vt:variant>
      <vt:variant>
        <vt:i4>5</vt:i4>
      </vt:variant>
      <vt:variant>
        <vt:lpwstr>mailto:oqily2008@gmail.com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Jordan University of Science &amp; Technology</dc:title>
  <dc:creator>Ali Shatnawi</dc:creator>
  <cp:lastModifiedBy>Dr. Tahat</cp:lastModifiedBy>
  <cp:revision>2</cp:revision>
  <cp:lastPrinted>2018-03-18T08:39:00Z</cp:lastPrinted>
  <dcterms:created xsi:type="dcterms:W3CDTF">2020-10-10T11:14:00Z</dcterms:created>
  <dcterms:modified xsi:type="dcterms:W3CDTF">2020-10-10T11:14:00Z</dcterms:modified>
</cp:coreProperties>
</file>